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6229"/>
    </w:p>
    <w:bookmarkEnd w:id="0"/>
    <w:p>
      <w:pPr>
        <w:widowControl/>
        <w:tabs>
          <w:tab w:val="left" w:pos="420"/>
          <w:tab w:val="left" w:pos="1155"/>
        </w:tabs>
        <w:autoSpaceDE w:val="0"/>
        <w:autoSpaceDN w:val="0"/>
        <w:spacing w:before="120" w:beforeLines="50" w:after="120" w:afterLines="50" w:line="600" w:lineRule="auto"/>
        <w:textAlignment w:val="bottom"/>
        <w:rPr>
          <w:rFonts w:ascii="方正小标宋简体" w:hAnsi="方正小标宋简体" w:eastAsia="方正小标宋简体" w:cs="方正小标宋简体"/>
          <w:b/>
          <w:bCs/>
          <w:sz w:val="40"/>
          <w:szCs w:val="32"/>
        </w:rPr>
      </w:pPr>
    </w:p>
    <w:p>
      <w:pPr>
        <w:widowControl/>
        <w:tabs>
          <w:tab w:val="left" w:pos="420"/>
          <w:tab w:val="left" w:pos="1155"/>
        </w:tabs>
        <w:autoSpaceDE w:val="0"/>
        <w:autoSpaceDN w:val="0"/>
        <w:spacing w:before="120" w:beforeLines="50" w:after="120" w:afterLines="50" w:line="600" w:lineRule="auto"/>
        <w:jc w:val="center"/>
        <w:textAlignment w:val="bottom"/>
        <w:rPr>
          <w:rFonts w:ascii="方正小标宋简体" w:hAnsi="方正小标宋简体" w:eastAsia="方正小标宋简体" w:cs="方正小标宋简体"/>
          <w:b/>
          <w:bCs/>
          <w:sz w:val="40"/>
          <w:szCs w:val="32"/>
        </w:rPr>
      </w:pPr>
      <w:r>
        <w:rPr>
          <w:rFonts w:hint="eastAsia" w:ascii="方正小标宋简体" w:hAnsi="方正小标宋简体" w:eastAsia="方正小标宋简体" w:cs="方正小标宋简体"/>
          <w:b/>
          <w:bCs/>
          <w:sz w:val="40"/>
          <w:szCs w:val="32"/>
        </w:rPr>
        <w:t>河北雄安新区管理委员会</w:t>
      </w:r>
    </w:p>
    <w:p>
      <w:pPr>
        <w:widowControl/>
        <w:tabs>
          <w:tab w:val="left" w:pos="420"/>
          <w:tab w:val="left" w:pos="1155"/>
        </w:tabs>
        <w:autoSpaceDE w:val="0"/>
        <w:autoSpaceDN w:val="0"/>
        <w:spacing w:before="120" w:beforeLines="50" w:after="120" w:afterLines="50" w:line="600" w:lineRule="auto"/>
        <w:jc w:val="center"/>
        <w:textAlignment w:val="bottom"/>
        <w:rPr>
          <w:rFonts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40"/>
          <w:szCs w:val="32"/>
        </w:rPr>
        <w:t>雄安新区土地评估服务合同</w:t>
      </w:r>
      <w:r>
        <w:rPr>
          <w:rFonts w:hint="eastAsia" w:ascii="方正小标宋简体" w:hAnsi="方正小标宋简体" w:eastAsia="方正小标宋简体" w:cs="方正小标宋简体"/>
          <w:b/>
          <w:bCs/>
          <w:sz w:val="40"/>
          <w:szCs w:val="32"/>
        </w:rPr>
        <w:br w:type="textWrapping"/>
      </w:r>
      <w:r>
        <w:rPr>
          <w:rFonts w:hint="eastAsia" w:ascii="方正小标宋简体" w:hAnsi="方正小标宋简体" w:eastAsia="方正小标宋简体" w:cs="方正小标宋简体"/>
          <w:b/>
          <w:bCs/>
          <w:sz w:val="40"/>
          <w:szCs w:val="32"/>
        </w:rPr>
        <w:t>第</w:t>
      </w:r>
      <w:r>
        <w:rPr>
          <w:rFonts w:hint="eastAsia" w:ascii="方正小标宋简体" w:hAnsi="方正小标宋简体" w:eastAsia="方正小标宋简体" w:cs="方正小标宋简体"/>
          <w:b/>
          <w:bCs/>
          <w:sz w:val="40"/>
          <w:szCs w:val="32"/>
          <w:u w:val="single"/>
        </w:rPr>
        <w:t xml:space="preserve">   </w:t>
      </w:r>
      <w:r>
        <w:rPr>
          <w:rFonts w:hint="eastAsia" w:ascii="方正小标宋简体" w:hAnsi="方正小标宋简体" w:eastAsia="方正小标宋简体" w:cs="方正小标宋简体"/>
          <w:b/>
          <w:bCs/>
          <w:sz w:val="40"/>
          <w:szCs w:val="32"/>
          <w:u w:val="single"/>
          <w:lang w:val="en-US" w:eastAsia="zh-CN"/>
        </w:rPr>
        <w:t>0</w:t>
      </w:r>
      <w:bookmarkStart w:id="2" w:name="_GoBack"/>
      <w:bookmarkEnd w:id="2"/>
      <w:r>
        <w:rPr>
          <w:rFonts w:ascii="方正小标宋简体" w:hAnsi="方正小标宋简体" w:eastAsia="方正小标宋简体" w:cs="方正小标宋简体"/>
          <w:b/>
          <w:bCs/>
          <w:sz w:val="40"/>
          <w:szCs w:val="32"/>
          <w:u w:val="single"/>
        </w:rPr>
        <w:t>3</w:t>
      </w:r>
      <w:r>
        <w:rPr>
          <w:rFonts w:hint="eastAsia" w:ascii="方正小标宋简体" w:hAnsi="方正小标宋简体" w:eastAsia="方正小标宋简体" w:cs="方正小标宋简体"/>
          <w:b/>
          <w:bCs/>
          <w:sz w:val="40"/>
          <w:szCs w:val="32"/>
          <w:u w:val="single"/>
        </w:rPr>
        <w:t xml:space="preserve">   </w:t>
      </w:r>
      <w:r>
        <w:rPr>
          <w:rFonts w:hint="eastAsia" w:ascii="方正小标宋简体" w:hAnsi="方正小标宋简体" w:eastAsia="方正小标宋简体" w:cs="方正小标宋简体"/>
          <w:b/>
          <w:bCs/>
          <w:sz w:val="40"/>
          <w:szCs w:val="32"/>
        </w:rPr>
        <w:t>包</w:t>
      </w:r>
    </w:p>
    <w:p>
      <w:pPr>
        <w:widowControl/>
        <w:tabs>
          <w:tab w:val="left" w:pos="420"/>
          <w:tab w:val="left" w:pos="1155"/>
        </w:tabs>
        <w:autoSpaceDE w:val="0"/>
        <w:autoSpaceDN w:val="0"/>
        <w:spacing w:before="120" w:beforeLines="50" w:after="120" w:afterLines="50"/>
        <w:jc w:val="center"/>
        <w:textAlignment w:val="bottom"/>
        <w:rPr>
          <w:rFonts w:ascii="等线" w:hAnsi="等线" w:eastAsia="等线"/>
          <w:b/>
          <w:sz w:val="32"/>
          <w:szCs w:val="32"/>
        </w:rPr>
      </w:pPr>
    </w:p>
    <w:p>
      <w:pPr>
        <w:widowControl/>
        <w:tabs>
          <w:tab w:val="left" w:pos="420"/>
          <w:tab w:val="left" w:pos="1155"/>
        </w:tabs>
        <w:autoSpaceDE w:val="0"/>
        <w:autoSpaceDN w:val="0"/>
        <w:spacing w:before="120" w:beforeLines="50" w:after="120" w:afterLines="50"/>
        <w:jc w:val="center"/>
        <w:textAlignment w:val="bottom"/>
        <w:rPr>
          <w:rFonts w:ascii="等线" w:hAnsi="等线" w:eastAsia="等线"/>
          <w:b/>
          <w:sz w:val="32"/>
          <w:szCs w:val="32"/>
        </w:rPr>
      </w:pPr>
    </w:p>
    <w:p>
      <w:pPr>
        <w:widowControl/>
        <w:tabs>
          <w:tab w:val="left" w:pos="420"/>
          <w:tab w:val="left" w:pos="1155"/>
        </w:tabs>
        <w:autoSpaceDE w:val="0"/>
        <w:autoSpaceDN w:val="0"/>
        <w:spacing w:before="120" w:beforeLines="50" w:after="120" w:afterLines="50"/>
        <w:jc w:val="center"/>
        <w:textAlignment w:val="bottom"/>
        <w:rPr>
          <w:rFonts w:ascii="等线" w:hAnsi="等线" w:eastAsia="等线"/>
          <w:b/>
          <w:sz w:val="32"/>
          <w:szCs w:val="32"/>
        </w:rPr>
      </w:pPr>
    </w:p>
    <w:p>
      <w:pPr>
        <w:widowControl/>
        <w:tabs>
          <w:tab w:val="left" w:pos="420"/>
          <w:tab w:val="left" w:pos="1155"/>
        </w:tabs>
        <w:autoSpaceDE w:val="0"/>
        <w:autoSpaceDN w:val="0"/>
        <w:spacing w:before="120" w:beforeLines="50" w:after="120" w:afterLines="50"/>
        <w:jc w:val="center"/>
        <w:textAlignment w:val="bottom"/>
        <w:rPr>
          <w:rFonts w:ascii="等线" w:hAnsi="等线" w:eastAsia="等线"/>
          <w:b/>
          <w:sz w:val="32"/>
          <w:szCs w:val="32"/>
        </w:rPr>
      </w:pPr>
    </w:p>
    <w:p>
      <w:pPr>
        <w:widowControl/>
        <w:tabs>
          <w:tab w:val="left" w:pos="420"/>
          <w:tab w:val="left" w:pos="1155"/>
        </w:tabs>
        <w:autoSpaceDE w:val="0"/>
        <w:autoSpaceDN w:val="0"/>
        <w:spacing w:before="120" w:beforeLines="50" w:after="120" w:afterLines="50"/>
        <w:ind w:firstLine="1789" w:firstLineChars="596"/>
        <w:textAlignment w:val="bottom"/>
        <w:rPr>
          <w:rFonts w:ascii="等线" w:hAnsi="等线" w:eastAsia="等线"/>
          <w:b/>
          <w:sz w:val="30"/>
          <w:szCs w:val="30"/>
          <w:u w:val="single"/>
        </w:rPr>
      </w:pPr>
      <w:r>
        <w:rPr>
          <w:rFonts w:hint="eastAsia" w:ascii="等线" w:hAnsi="等线" w:eastAsia="等线"/>
          <w:b/>
          <w:sz w:val="30"/>
          <w:szCs w:val="30"/>
        </w:rPr>
        <w:t>委托方：</w:t>
      </w:r>
      <w:r>
        <w:rPr>
          <w:rFonts w:hint="eastAsia" w:ascii="等线" w:hAnsi="等线" w:eastAsia="等线"/>
          <w:b/>
          <w:sz w:val="32"/>
          <w:szCs w:val="32"/>
          <w:u w:val="single"/>
        </w:rPr>
        <w:t>河北雄安新区管理委员会</w:t>
      </w:r>
    </w:p>
    <w:p>
      <w:pPr>
        <w:widowControl/>
        <w:tabs>
          <w:tab w:val="left" w:pos="420"/>
          <w:tab w:val="left" w:pos="1155"/>
        </w:tabs>
        <w:autoSpaceDE w:val="0"/>
        <w:autoSpaceDN w:val="0"/>
        <w:spacing w:before="120" w:beforeLines="50" w:after="120" w:afterLines="50"/>
        <w:ind w:firstLine="1789" w:firstLineChars="596"/>
        <w:textAlignment w:val="bottom"/>
        <w:rPr>
          <w:rFonts w:ascii="等线" w:hAnsi="等线" w:eastAsia="等线"/>
          <w:b/>
          <w:color w:val="000000" w:themeColor="text1"/>
          <w:sz w:val="30"/>
          <w:szCs w:val="30"/>
          <w14:textFill>
            <w14:solidFill>
              <w14:schemeClr w14:val="tx1"/>
            </w14:solidFill>
          </w14:textFill>
        </w:rPr>
      </w:pPr>
      <w:r>
        <w:rPr>
          <w:rFonts w:hint="eastAsia" w:ascii="等线" w:hAnsi="等线" w:eastAsia="等线"/>
          <w:b/>
          <w:sz w:val="30"/>
          <w:szCs w:val="30"/>
        </w:rPr>
        <w:t>受托方：</w:t>
      </w:r>
      <w:bookmarkStart w:id="1" w:name="_Hlk92448276"/>
      <w:r>
        <w:rPr>
          <w:rFonts w:hint="eastAsia" w:ascii="等线" w:hAnsi="等线" w:eastAsia="等线"/>
          <w:b/>
          <w:sz w:val="30"/>
          <w:szCs w:val="30"/>
          <w:u w:val="single"/>
        </w:rPr>
        <w:t>北京康正宏基房地产评估有限公司</w:t>
      </w:r>
      <w:bookmarkEnd w:id="1"/>
    </w:p>
    <w:p>
      <w:pPr>
        <w:widowControl/>
        <w:tabs>
          <w:tab w:val="left" w:pos="420"/>
          <w:tab w:val="left" w:pos="1155"/>
        </w:tabs>
        <w:autoSpaceDE w:val="0"/>
        <w:autoSpaceDN w:val="0"/>
        <w:spacing w:before="120" w:beforeLines="50" w:after="120" w:afterLines="50"/>
        <w:jc w:val="center"/>
        <w:textAlignment w:val="bottom"/>
        <w:rPr>
          <w:rFonts w:ascii="等线" w:hAnsi="等线" w:eastAsia="等线"/>
          <w:b/>
          <w:color w:val="000000" w:themeColor="text1"/>
          <w:sz w:val="32"/>
          <w:szCs w:val="32"/>
          <w14:textFill>
            <w14:solidFill>
              <w14:schemeClr w14:val="tx1"/>
            </w14:solidFill>
          </w14:textFill>
        </w:rPr>
      </w:pPr>
    </w:p>
    <w:p>
      <w:pPr>
        <w:widowControl/>
        <w:tabs>
          <w:tab w:val="left" w:pos="420"/>
          <w:tab w:val="left" w:pos="1155"/>
        </w:tabs>
        <w:autoSpaceDE w:val="0"/>
        <w:autoSpaceDN w:val="0"/>
        <w:spacing w:before="120" w:beforeLines="50" w:after="120" w:afterLines="50"/>
        <w:ind w:firstLine="2101" w:firstLineChars="700"/>
        <w:textAlignment w:val="bottom"/>
        <w:rPr>
          <w:rFonts w:ascii="等线" w:hAnsi="等线" w:eastAsia="等线"/>
          <w:b/>
          <w:sz w:val="30"/>
          <w:szCs w:val="30"/>
          <w:u w:val="single"/>
        </w:rPr>
      </w:pPr>
      <w:r>
        <w:rPr>
          <w:rFonts w:hint="eastAsia" w:ascii="等线" w:hAnsi="等线" w:eastAsia="等线"/>
          <w:b/>
          <w:color w:val="000000" w:themeColor="text1"/>
          <w:sz w:val="30"/>
          <w:szCs w:val="30"/>
          <w14:textFill>
            <w14:solidFill>
              <w14:schemeClr w14:val="tx1"/>
            </w14:solidFill>
          </w14:textFill>
        </w:rPr>
        <w:t>合同签订时间</w:t>
      </w:r>
      <w:r>
        <w:rPr>
          <w:rFonts w:hint="eastAsia" w:ascii="Arial" w:hAnsi="Arial" w:eastAsia="等线" w:cs="Arial"/>
          <w:color w:val="FF0000"/>
          <w:sz w:val="32"/>
          <w:szCs w:val="32"/>
        </w:rPr>
        <w:t xml:space="preserve"> </w:t>
      </w:r>
      <w:r>
        <w:rPr>
          <w:rFonts w:hint="eastAsia" w:ascii="Arial" w:hAnsi="Arial" w:eastAsia="等线" w:cs="Arial"/>
          <w:color w:val="000000" w:themeColor="text1"/>
          <w:sz w:val="32"/>
          <w:szCs w:val="32"/>
          <w:u w:val="single"/>
          <w14:textFill>
            <w14:solidFill>
              <w14:schemeClr w14:val="tx1"/>
            </w14:solidFill>
          </w14:textFill>
        </w:rPr>
        <w:t xml:space="preserve"> </w:t>
      </w:r>
      <w:r>
        <w:rPr>
          <w:rFonts w:hint="eastAsia" w:ascii="等线" w:hAnsi="等线" w:eastAsia="等线"/>
          <w:b/>
          <w:sz w:val="30"/>
          <w:szCs w:val="30"/>
          <w:u w:val="single"/>
        </w:rPr>
        <w:t>2022年 1 月</w:t>
      </w:r>
    </w:p>
    <w:p>
      <w:pPr>
        <w:widowControl/>
        <w:jc w:val="left"/>
        <w:rPr>
          <w:rFonts w:ascii="等线" w:hAnsi="等线" w:eastAsia="等线"/>
          <w:color w:val="000000" w:themeColor="text1"/>
          <w:lang w:val="ru-RU"/>
          <w14:textFill>
            <w14:solidFill>
              <w14:schemeClr w14:val="tx1"/>
            </w14:solidFill>
          </w14:textFill>
        </w:rPr>
      </w:pPr>
      <w:r>
        <w:rPr>
          <w:rFonts w:ascii="等线" w:hAnsi="等线" w:eastAsia="等线"/>
          <w:color w:val="000000" w:themeColor="text1"/>
          <w:lang w:val="ru-RU"/>
          <w14:textFill>
            <w14:solidFill>
              <w14:schemeClr w14:val="tx1"/>
            </w14:solidFill>
          </w14:textFill>
        </w:rPr>
        <w:br w:type="page"/>
      </w:r>
    </w:p>
    <w:p>
      <w:pPr>
        <w:spacing w:before="120" w:beforeLines="50" w:after="120" w:afterLines="50" w:line="360" w:lineRule="auto"/>
        <w:ind w:firstLine="442" w:firstLineChars="200"/>
        <w:rPr>
          <w:rFonts w:ascii="宋体" w:hAnsi="宋体"/>
          <w:b/>
          <w:color w:val="000000" w:themeColor="text1"/>
          <w:sz w:val="22"/>
          <w:szCs w:val="28"/>
          <w:u w:val="single"/>
          <w14:textFill>
            <w14:solidFill>
              <w14:schemeClr w14:val="tx1"/>
            </w14:solidFill>
          </w14:textFill>
        </w:rPr>
      </w:pPr>
      <w:r>
        <w:rPr>
          <w:rFonts w:hint="eastAsia" w:ascii="宋体" w:hAnsi="宋体"/>
          <w:b/>
          <w:color w:val="000000" w:themeColor="text1"/>
          <w:sz w:val="22"/>
          <w:szCs w:val="28"/>
          <w14:textFill>
            <w14:solidFill>
              <w14:schemeClr w14:val="tx1"/>
            </w14:solidFill>
          </w14:textFill>
        </w:rPr>
        <w:t>委托方：</w:t>
      </w:r>
      <w:r>
        <w:rPr>
          <w:rFonts w:hint="eastAsia" w:ascii="宋体" w:hAnsi="宋体"/>
          <w:b/>
          <w:color w:val="000000" w:themeColor="text1"/>
          <w:sz w:val="22"/>
          <w:szCs w:val="28"/>
          <w:u w:val="single"/>
          <w14:textFill>
            <w14:solidFill>
              <w14:schemeClr w14:val="tx1"/>
            </w14:solidFill>
          </w14:textFill>
        </w:rPr>
        <w:t>河北雄安新区管理委员会</w:t>
      </w:r>
      <w:r>
        <w:rPr>
          <w:rFonts w:hint="eastAsia" w:ascii="宋体" w:hAnsi="宋体"/>
          <w:b/>
          <w:color w:val="000000" w:themeColor="text1"/>
          <w:sz w:val="22"/>
          <w:szCs w:val="28"/>
          <w14:textFill>
            <w14:solidFill>
              <w14:schemeClr w14:val="tx1"/>
            </w14:solidFill>
          </w14:textFill>
        </w:rPr>
        <w:t>（以下简称“甲方”）</w:t>
      </w:r>
    </w:p>
    <w:p>
      <w:pPr>
        <w:spacing w:before="120" w:beforeLines="50" w:after="120" w:afterLines="50" w:line="360" w:lineRule="auto"/>
        <w:ind w:firstLine="482"/>
        <w:rPr>
          <w:rFonts w:ascii="宋体" w:hAnsi="宋体"/>
          <w:b/>
          <w:color w:val="000000" w:themeColor="text1"/>
          <w:sz w:val="22"/>
          <w:szCs w:val="28"/>
          <w14:textFill>
            <w14:solidFill>
              <w14:schemeClr w14:val="tx1"/>
            </w14:solidFill>
          </w14:textFill>
        </w:rPr>
      </w:pPr>
      <w:r>
        <w:rPr>
          <w:rFonts w:hint="eastAsia" w:ascii="宋体" w:hAnsi="宋体"/>
          <w:b/>
          <w:color w:val="000000" w:themeColor="text1"/>
          <w:sz w:val="22"/>
          <w:szCs w:val="28"/>
          <w14:textFill>
            <w14:solidFill>
              <w14:schemeClr w14:val="tx1"/>
            </w14:solidFill>
          </w14:textFill>
        </w:rPr>
        <w:t>受托方：</w:t>
      </w:r>
      <w:r>
        <w:rPr>
          <w:rFonts w:hint="eastAsia" w:ascii="宋体" w:hAnsi="宋体"/>
          <w:b/>
          <w:color w:val="000000" w:themeColor="text1"/>
          <w:sz w:val="22"/>
          <w:szCs w:val="28"/>
          <w:u w:val="single"/>
          <w14:textFill>
            <w14:solidFill>
              <w14:schemeClr w14:val="tx1"/>
            </w14:solidFill>
          </w14:textFill>
        </w:rPr>
        <w:t>北京康正宏基房地产评估有限公司（</w:t>
      </w:r>
      <w:r>
        <w:rPr>
          <w:rFonts w:hint="eastAsia" w:ascii="宋体" w:hAnsi="宋体"/>
          <w:b/>
          <w:color w:val="000000" w:themeColor="text1"/>
          <w:sz w:val="22"/>
          <w:szCs w:val="28"/>
          <w14:textFill>
            <w14:solidFill>
              <w14:schemeClr w14:val="tx1"/>
            </w14:solidFill>
          </w14:textFill>
        </w:rPr>
        <w:t>以下简称“乙方”）</w:t>
      </w:r>
      <w:r>
        <w:rPr>
          <w:rFonts w:ascii="宋体" w:hAnsi="宋体"/>
          <w:color w:val="000000" w:themeColor="text1"/>
          <w:sz w:val="22"/>
          <w:szCs w:val="28"/>
          <w14:textFill>
            <w14:solidFill>
              <w14:schemeClr w14:val="tx1"/>
            </w14:solidFill>
          </w14:textFill>
        </w:rPr>
        <w:tab/>
      </w:r>
    </w:p>
    <w:p>
      <w:pPr>
        <w:spacing w:before="120" w:beforeLines="50" w:after="120" w:afterLines="50" w:line="360" w:lineRule="auto"/>
        <w:ind w:firstLine="422" w:firstLineChars="192"/>
        <w:rPr>
          <w:rFonts w:ascii="宋体" w:hAnsi="宋体"/>
          <w:sz w:val="22"/>
          <w:szCs w:val="28"/>
        </w:rPr>
      </w:pPr>
      <w:r>
        <w:rPr>
          <w:rFonts w:hint="eastAsia" w:ascii="宋体" w:hAnsi="宋体"/>
          <w:color w:val="000000" w:themeColor="text1"/>
          <w:sz w:val="22"/>
          <w:szCs w:val="28"/>
          <w14:textFill>
            <w14:solidFill>
              <w14:schemeClr w14:val="tx1"/>
            </w14:solidFill>
          </w14:textFill>
        </w:rPr>
        <w:t xml:space="preserve">依据《中华人民共和国民法典》及雄安新区相关规定，河北雄安新区管理委员会委托 </w:t>
      </w:r>
      <w:r>
        <w:rPr>
          <w:rFonts w:hint="eastAsia" w:ascii="宋体" w:hAnsi="宋体"/>
          <w:color w:val="000000" w:themeColor="text1"/>
          <w:sz w:val="22"/>
          <w:szCs w:val="28"/>
          <w:u w:val="single"/>
          <w14:textFill>
            <w14:solidFill>
              <w14:schemeClr w14:val="tx1"/>
            </w14:solidFill>
          </w14:textFill>
        </w:rPr>
        <w:t>北京康正宏基房地产评估有限公司</w:t>
      </w:r>
      <w:r>
        <w:rPr>
          <w:rFonts w:hint="eastAsia" w:ascii="宋体" w:hAnsi="宋体"/>
          <w:color w:val="000000" w:themeColor="text1"/>
          <w:sz w:val="22"/>
          <w:szCs w:val="28"/>
          <w14:textFill>
            <w14:solidFill>
              <w14:schemeClr w14:val="tx1"/>
            </w14:solidFill>
          </w14:textFill>
        </w:rPr>
        <w:t xml:space="preserve"> 承担雄安新区的土地估价工作，经双方友好协商，在平等互利的原则下，达成</w:t>
      </w:r>
      <w:r>
        <w:rPr>
          <w:rFonts w:hint="eastAsia" w:ascii="宋体" w:hAnsi="宋体"/>
          <w:sz w:val="22"/>
          <w:szCs w:val="28"/>
        </w:rPr>
        <w:t>如下约定：</w:t>
      </w:r>
    </w:p>
    <w:p>
      <w:pPr>
        <w:tabs>
          <w:tab w:val="left" w:pos="420"/>
        </w:tabs>
        <w:snapToGrid w:val="0"/>
        <w:spacing w:before="120" w:beforeLines="50" w:after="120" w:afterLines="50"/>
        <w:ind w:firstLine="482"/>
        <w:rPr>
          <w:rFonts w:ascii="宋体" w:hAnsi="宋体"/>
          <w:b/>
          <w:sz w:val="22"/>
          <w:szCs w:val="28"/>
        </w:rPr>
      </w:pPr>
      <w:r>
        <w:rPr>
          <w:rFonts w:hint="eastAsia" w:ascii="宋体" w:hAnsi="宋体"/>
          <w:b/>
          <w:sz w:val="22"/>
          <w:szCs w:val="28"/>
        </w:rPr>
        <w:t>一、委托评估业务内容和要求</w:t>
      </w:r>
    </w:p>
    <w:p>
      <w:pPr>
        <w:spacing w:before="120" w:beforeLines="50" w:after="120" w:afterLines="50" w:line="360" w:lineRule="auto"/>
        <w:ind w:firstLine="422" w:firstLineChars="192"/>
        <w:rPr>
          <w:rFonts w:ascii="宋体" w:hAnsi="宋体"/>
          <w:color w:val="000000" w:themeColor="text1"/>
          <w:sz w:val="22"/>
          <w:szCs w:val="28"/>
          <w14:textFill>
            <w14:solidFill>
              <w14:schemeClr w14:val="tx1"/>
            </w14:solidFill>
          </w14:textFill>
        </w:rPr>
      </w:pPr>
      <w:r>
        <w:rPr>
          <w:rFonts w:hint="eastAsia" w:ascii="宋体" w:hAnsi="宋体"/>
          <w:color w:val="000000" w:themeColor="text1"/>
          <w:sz w:val="22"/>
          <w:szCs w:val="28"/>
          <w14:textFill>
            <w14:solidFill>
              <w14:schemeClr w14:val="tx1"/>
            </w14:solidFill>
          </w14:textFill>
        </w:rPr>
        <w:t>(一)乙方承担河北雄安新区的土地估价工作。具体以项目委托单位（河北雄安新区管理委员会规划建设局）实际委托为准，原则上乙方承担项目不超过15个。</w:t>
      </w:r>
    </w:p>
    <w:p>
      <w:pPr>
        <w:spacing w:before="120" w:beforeLines="50" w:after="120" w:afterLines="50" w:line="360" w:lineRule="auto"/>
        <w:ind w:firstLine="422" w:firstLineChars="192"/>
        <w:rPr>
          <w:rFonts w:ascii="宋体" w:hAnsi="宋体"/>
          <w:color w:val="000000" w:themeColor="text1"/>
          <w:sz w:val="22"/>
          <w:szCs w:val="28"/>
          <w14:textFill>
            <w14:solidFill>
              <w14:schemeClr w14:val="tx1"/>
            </w14:solidFill>
          </w14:textFill>
        </w:rPr>
      </w:pPr>
      <w:r>
        <w:rPr>
          <w:rFonts w:hint="eastAsia" w:ascii="宋体" w:hAnsi="宋体"/>
          <w:color w:val="000000" w:themeColor="text1"/>
          <w:sz w:val="22"/>
          <w:szCs w:val="28"/>
          <w14:textFill>
            <w14:solidFill>
              <w14:schemeClr w14:val="tx1"/>
            </w14:solidFill>
          </w14:textFill>
        </w:rPr>
        <w:t>(二)评估报告使用者：依本合同提交的土地估价报告仅供甲方、经济行为涉及的相关当事方以及按照相关规定报送备案的相关监管机构使用，法律、法规另有规定的除外。</w:t>
      </w:r>
    </w:p>
    <w:p>
      <w:pPr>
        <w:spacing w:before="120" w:beforeLines="50" w:after="120" w:afterLines="50" w:line="360" w:lineRule="auto"/>
        <w:ind w:firstLine="422" w:firstLineChars="192"/>
        <w:rPr>
          <w:rFonts w:ascii="宋体" w:hAnsi="宋体"/>
          <w:color w:val="000000" w:themeColor="text1"/>
          <w:sz w:val="22"/>
          <w:szCs w:val="28"/>
          <w14:textFill>
            <w14:solidFill>
              <w14:schemeClr w14:val="tx1"/>
            </w14:solidFill>
          </w14:textFill>
        </w:rPr>
      </w:pPr>
      <w:r>
        <w:rPr>
          <w:rFonts w:hint="eastAsia" w:ascii="宋体" w:hAnsi="宋体"/>
          <w:color w:val="000000" w:themeColor="text1"/>
          <w:sz w:val="22"/>
          <w:szCs w:val="28"/>
          <w14:textFill>
            <w14:solidFill>
              <w14:schemeClr w14:val="tx1"/>
            </w14:solidFill>
          </w14:textFill>
        </w:rPr>
        <w:t>(三)出具评估报告的方式：备案后有电子监管号二维码的评估报告书(中文标准文本)一式叁份，电子件壹份。</w:t>
      </w:r>
    </w:p>
    <w:p>
      <w:pPr>
        <w:spacing w:before="120" w:beforeLines="50" w:after="120" w:afterLines="50" w:line="360" w:lineRule="auto"/>
        <w:ind w:firstLine="422" w:firstLineChars="192"/>
        <w:rPr>
          <w:rFonts w:ascii="宋体" w:hAnsi="宋体"/>
          <w:color w:val="000000" w:themeColor="text1"/>
          <w:sz w:val="22"/>
          <w:szCs w:val="28"/>
          <w14:textFill>
            <w14:solidFill>
              <w14:schemeClr w14:val="tx1"/>
            </w14:solidFill>
          </w14:textFill>
        </w:rPr>
      </w:pPr>
      <w:r>
        <w:rPr>
          <w:rFonts w:hint="eastAsia" w:ascii="宋体" w:hAnsi="宋体"/>
          <w:color w:val="000000" w:themeColor="text1"/>
          <w:sz w:val="22"/>
          <w:szCs w:val="28"/>
          <w14:textFill>
            <w14:solidFill>
              <w14:schemeClr w14:val="tx1"/>
            </w14:solidFill>
          </w14:textFill>
        </w:rPr>
        <w:t>(四)服务期限：自合同签订之日起一年。</w:t>
      </w:r>
    </w:p>
    <w:p>
      <w:pPr>
        <w:tabs>
          <w:tab w:val="left" w:pos="420"/>
        </w:tabs>
        <w:snapToGrid w:val="0"/>
        <w:spacing w:before="120" w:beforeLines="50" w:after="120" w:afterLines="50"/>
        <w:ind w:firstLine="482"/>
        <w:rPr>
          <w:rFonts w:ascii="宋体" w:hAnsi="宋体"/>
          <w:b/>
          <w:sz w:val="22"/>
          <w:szCs w:val="28"/>
        </w:rPr>
      </w:pPr>
      <w:r>
        <w:rPr>
          <w:rFonts w:hint="eastAsia" w:ascii="宋体" w:hAnsi="宋体"/>
          <w:b/>
          <w:sz w:val="22"/>
          <w:szCs w:val="28"/>
        </w:rPr>
        <w:t>二、甲方的权利和义务</w:t>
      </w:r>
    </w:p>
    <w:p>
      <w:pPr>
        <w:spacing w:before="120" w:beforeLines="50" w:after="120" w:afterLines="50" w:line="360" w:lineRule="auto"/>
        <w:ind w:firstLine="422" w:firstLineChars="192"/>
        <w:rPr>
          <w:rFonts w:ascii="宋体" w:hAnsi="宋体"/>
          <w:color w:val="000000" w:themeColor="text1"/>
          <w:sz w:val="22"/>
          <w:szCs w:val="28"/>
          <w14:textFill>
            <w14:solidFill>
              <w14:schemeClr w14:val="tx1"/>
            </w14:solidFill>
          </w14:textFill>
        </w:rPr>
      </w:pPr>
      <w:r>
        <w:rPr>
          <w:rFonts w:hint="eastAsia" w:ascii="宋体" w:hAnsi="宋体"/>
          <w:color w:val="000000" w:themeColor="text1"/>
          <w:sz w:val="22"/>
          <w:szCs w:val="28"/>
          <w14:textFill>
            <w14:solidFill>
              <w14:schemeClr w14:val="tx1"/>
            </w14:solidFill>
          </w14:textFill>
        </w:rPr>
        <w:t>(一)有权要求乙方严格按照约定的时间完成本合同约定的工作。</w:t>
      </w:r>
    </w:p>
    <w:p>
      <w:pPr>
        <w:spacing w:before="120" w:beforeLines="50" w:after="120" w:afterLines="50" w:line="360" w:lineRule="auto"/>
        <w:ind w:firstLine="422" w:firstLineChars="192"/>
        <w:rPr>
          <w:rFonts w:ascii="宋体" w:hAnsi="宋体"/>
          <w:color w:val="000000" w:themeColor="text1"/>
          <w:sz w:val="22"/>
          <w:szCs w:val="28"/>
          <w14:textFill>
            <w14:solidFill>
              <w14:schemeClr w14:val="tx1"/>
            </w14:solidFill>
          </w14:textFill>
        </w:rPr>
      </w:pPr>
      <w:r>
        <w:rPr>
          <w:rFonts w:hint="eastAsia" w:ascii="宋体" w:hAnsi="宋体"/>
          <w:color w:val="000000" w:themeColor="text1"/>
          <w:sz w:val="22"/>
          <w:szCs w:val="28"/>
          <w14:textFill>
            <w14:solidFill>
              <w14:schemeClr w14:val="tx1"/>
            </w14:solidFill>
          </w14:textFill>
        </w:rPr>
        <w:t>(二)对乙方完成的工作成果享有所有权及知识产权，但乙方可为研究、学习、资料保管等无偿使用该工作成果。</w:t>
      </w:r>
    </w:p>
    <w:p>
      <w:pPr>
        <w:spacing w:before="120" w:beforeLines="50" w:after="120" w:afterLines="50" w:line="360" w:lineRule="auto"/>
        <w:ind w:firstLine="422" w:firstLineChars="192"/>
        <w:rPr>
          <w:rFonts w:ascii="宋体" w:hAnsi="宋体"/>
          <w:color w:val="000000" w:themeColor="text1"/>
          <w:sz w:val="22"/>
          <w:szCs w:val="28"/>
          <w14:textFill>
            <w14:solidFill>
              <w14:schemeClr w14:val="tx1"/>
            </w14:solidFill>
          </w14:textFill>
        </w:rPr>
      </w:pPr>
      <w:r>
        <w:rPr>
          <w:rFonts w:hint="eastAsia" w:ascii="宋体" w:hAnsi="宋体"/>
          <w:color w:val="000000" w:themeColor="text1"/>
          <w:sz w:val="22"/>
          <w:szCs w:val="28"/>
          <w14:textFill>
            <w14:solidFill>
              <w14:schemeClr w14:val="tx1"/>
            </w14:solidFill>
          </w14:textFill>
        </w:rPr>
        <w:t>(三)要求乙方为甲方保守因履行本合同所知悉的商业秘密。</w:t>
      </w:r>
    </w:p>
    <w:p>
      <w:pPr>
        <w:spacing w:before="120" w:beforeLines="50" w:after="120" w:afterLines="50" w:line="360" w:lineRule="auto"/>
        <w:ind w:firstLine="422" w:firstLineChars="192"/>
        <w:rPr>
          <w:rFonts w:ascii="宋体" w:hAnsi="宋体"/>
          <w:color w:val="000000" w:themeColor="text1"/>
          <w:sz w:val="22"/>
          <w:szCs w:val="28"/>
          <w14:textFill>
            <w14:solidFill>
              <w14:schemeClr w14:val="tx1"/>
            </w14:solidFill>
          </w14:textFill>
        </w:rPr>
      </w:pPr>
      <w:r>
        <w:rPr>
          <w:rFonts w:hint="eastAsia" w:ascii="宋体" w:hAnsi="宋体"/>
          <w:color w:val="000000" w:themeColor="text1"/>
          <w:sz w:val="22"/>
          <w:szCs w:val="28"/>
          <w14:textFill>
            <w14:solidFill>
              <w14:schemeClr w14:val="tx1"/>
            </w14:solidFill>
          </w14:textFill>
        </w:rPr>
        <w:t>(四)要求乙方在法律法规允许的范围内维护甲方的利益。</w:t>
      </w:r>
    </w:p>
    <w:p>
      <w:pPr>
        <w:spacing w:before="120" w:beforeLines="50" w:after="120" w:afterLines="50" w:line="360" w:lineRule="auto"/>
        <w:ind w:firstLine="422" w:firstLineChars="192"/>
        <w:rPr>
          <w:rFonts w:ascii="宋体" w:hAnsi="宋体"/>
          <w:color w:val="000000" w:themeColor="text1"/>
          <w:sz w:val="22"/>
          <w:szCs w:val="28"/>
          <w14:textFill>
            <w14:solidFill>
              <w14:schemeClr w14:val="tx1"/>
            </w14:solidFill>
          </w14:textFill>
        </w:rPr>
      </w:pPr>
      <w:r>
        <w:rPr>
          <w:rFonts w:hint="eastAsia" w:ascii="宋体" w:hAnsi="宋体"/>
          <w:color w:val="000000" w:themeColor="text1"/>
          <w:sz w:val="22"/>
          <w:szCs w:val="28"/>
          <w14:textFill>
            <w14:solidFill>
              <w14:schemeClr w14:val="tx1"/>
            </w14:solidFill>
          </w14:textFill>
        </w:rPr>
        <w:t>(五)应乙方要求，全面、真实、及时地向乙方提供相关文件、评估所需必要资料，因甲方提交的资料不完整、不真实导致的评估结果有重大瑕疵或不合格的，由甲方自行承担。</w:t>
      </w:r>
    </w:p>
    <w:p>
      <w:pPr>
        <w:spacing w:before="120" w:beforeLines="50" w:after="120" w:afterLines="50" w:line="360" w:lineRule="auto"/>
        <w:ind w:firstLine="422" w:firstLineChars="192"/>
        <w:rPr>
          <w:rFonts w:ascii="宋体" w:hAnsi="宋体"/>
          <w:color w:val="000000" w:themeColor="text1"/>
          <w:sz w:val="22"/>
          <w:szCs w:val="28"/>
          <w14:textFill>
            <w14:solidFill>
              <w14:schemeClr w14:val="tx1"/>
            </w14:solidFill>
          </w14:textFill>
        </w:rPr>
      </w:pPr>
      <w:r>
        <w:rPr>
          <w:rFonts w:hint="eastAsia" w:ascii="宋体" w:hAnsi="宋体"/>
          <w:color w:val="000000" w:themeColor="text1"/>
          <w:sz w:val="22"/>
          <w:szCs w:val="28"/>
          <w14:textFill>
            <w14:solidFill>
              <w14:schemeClr w14:val="tx1"/>
            </w14:solidFill>
          </w14:textFill>
        </w:rPr>
        <w:t>(六)在乙方按照本合同之约定向甲方提供评估服务时，提供必需的协助与便利。</w:t>
      </w:r>
    </w:p>
    <w:p>
      <w:pPr>
        <w:tabs>
          <w:tab w:val="left" w:pos="420"/>
        </w:tabs>
        <w:snapToGrid w:val="0"/>
        <w:spacing w:before="120" w:beforeLines="50" w:after="120" w:afterLines="50"/>
        <w:ind w:firstLine="482"/>
        <w:rPr>
          <w:rFonts w:ascii="宋体" w:hAnsi="宋体"/>
          <w:bCs/>
          <w:sz w:val="22"/>
          <w:szCs w:val="28"/>
        </w:rPr>
      </w:pPr>
      <w:r>
        <w:rPr>
          <w:rFonts w:hint="eastAsia" w:ascii="宋体" w:hAnsi="宋体"/>
          <w:b/>
          <w:sz w:val="22"/>
          <w:szCs w:val="28"/>
        </w:rPr>
        <w:t>三、乙方的权利与义务</w:t>
      </w:r>
    </w:p>
    <w:p>
      <w:pPr>
        <w:spacing w:before="120" w:beforeLines="50" w:after="120" w:afterLines="50" w:line="360" w:lineRule="auto"/>
        <w:ind w:firstLine="422" w:firstLineChars="192"/>
        <w:rPr>
          <w:rFonts w:ascii="宋体" w:hAnsi="宋体"/>
          <w:color w:val="000000" w:themeColor="text1"/>
          <w:sz w:val="22"/>
          <w:szCs w:val="28"/>
          <w14:textFill>
            <w14:solidFill>
              <w14:schemeClr w14:val="tx1"/>
            </w14:solidFill>
          </w14:textFill>
        </w:rPr>
      </w:pPr>
      <w:r>
        <w:rPr>
          <w:rFonts w:hint="eastAsia" w:ascii="宋体" w:hAnsi="宋体"/>
          <w:color w:val="000000" w:themeColor="text1"/>
          <w:sz w:val="22"/>
          <w:szCs w:val="28"/>
          <w14:textFill>
            <w14:solidFill>
              <w14:schemeClr w14:val="tx1"/>
            </w14:solidFill>
          </w14:textFill>
        </w:rPr>
        <w:t>(一)遵守相关法律、法规及行业相关评估规范，对评估对象在评估基准日特定目的下的价值进行分析、估算并发表专业意见。</w:t>
      </w:r>
    </w:p>
    <w:p>
      <w:pPr>
        <w:spacing w:before="120" w:beforeLines="50" w:after="120" w:afterLines="50" w:line="360" w:lineRule="auto"/>
        <w:ind w:firstLine="422" w:firstLineChars="192"/>
        <w:rPr>
          <w:rFonts w:ascii="宋体" w:hAnsi="宋体"/>
          <w:color w:val="000000" w:themeColor="text1"/>
          <w:sz w:val="22"/>
          <w:szCs w:val="28"/>
          <w14:textFill>
            <w14:solidFill>
              <w14:schemeClr w14:val="tx1"/>
            </w14:solidFill>
          </w14:textFill>
        </w:rPr>
      </w:pPr>
      <w:r>
        <w:rPr>
          <w:rFonts w:hint="eastAsia" w:ascii="宋体" w:hAnsi="宋体"/>
          <w:color w:val="000000" w:themeColor="text1"/>
          <w:sz w:val="22"/>
          <w:szCs w:val="28"/>
          <w14:textFill>
            <w14:solidFill>
              <w14:schemeClr w14:val="tx1"/>
            </w14:solidFill>
          </w14:textFill>
        </w:rPr>
        <w:t>(二)按照甲方委托要求按时保质保量完成评估任务，并配合甲方做好每次地价评估结果的集体会审。</w:t>
      </w:r>
    </w:p>
    <w:p>
      <w:pPr>
        <w:spacing w:before="120" w:beforeLines="50" w:after="120" w:afterLines="50" w:line="360" w:lineRule="auto"/>
        <w:ind w:firstLine="422" w:firstLineChars="192"/>
        <w:rPr>
          <w:rFonts w:ascii="宋体" w:hAnsi="宋体"/>
          <w:color w:val="000000" w:themeColor="text1"/>
          <w:sz w:val="22"/>
          <w:szCs w:val="28"/>
          <w14:textFill>
            <w14:solidFill>
              <w14:schemeClr w14:val="tx1"/>
            </w14:solidFill>
          </w14:textFill>
        </w:rPr>
      </w:pPr>
      <w:r>
        <w:rPr>
          <w:rFonts w:hint="eastAsia" w:ascii="宋体" w:hAnsi="宋体"/>
          <w:color w:val="000000" w:themeColor="text1"/>
          <w:sz w:val="22"/>
          <w:szCs w:val="28"/>
          <w14:textFill>
            <w14:solidFill>
              <w14:schemeClr w14:val="tx1"/>
            </w14:solidFill>
          </w14:textFill>
        </w:rPr>
        <w:t>(三)接受甲方就地价评估（含口头评估、预评估）、地价信息的咨询。</w:t>
      </w:r>
    </w:p>
    <w:p>
      <w:pPr>
        <w:spacing w:before="120" w:beforeLines="50" w:after="120" w:afterLines="50" w:line="360" w:lineRule="auto"/>
        <w:ind w:firstLine="422" w:firstLineChars="192"/>
        <w:rPr>
          <w:rFonts w:ascii="宋体" w:hAnsi="宋体"/>
          <w:color w:val="000000" w:themeColor="text1"/>
          <w:sz w:val="22"/>
          <w:szCs w:val="28"/>
          <w14:textFill>
            <w14:solidFill>
              <w14:schemeClr w14:val="tx1"/>
            </w14:solidFill>
          </w14:textFill>
        </w:rPr>
      </w:pPr>
      <w:r>
        <w:rPr>
          <w:rFonts w:hint="eastAsia" w:ascii="宋体" w:hAnsi="宋体"/>
          <w:color w:val="000000" w:themeColor="text1"/>
          <w:sz w:val="22"/>
          <w:szCs w:val="28"/>
          <w14:textFill>
            <w14:solidFill>
              <w14:schemeClr w14:val="tx1"/>
            </w14:solidFill>
          </w14:textFill>
        </w:rPr>
        <w:t>(四)认真完成甲方委托的其他评估任务。</w:t>
      </w:r>
    </w:p>
    <w:p>
      <w:pPr>
        <w:spacing w:before="120" w:beforeLines="50" w:after="120" w:afterLines="50" w:line="360" w:lineRule="auto"/>
        <w:ind w:firstLine="422" w:firstLineChars="192"/>
        <w:rPr>
          <w:rFonts w:ascii="宋体" w:hAnsi="宋体"/>
          <w:color w:val="000000" w:themeColor="text1"/>
          <w:sz w:val="22"/>
          <w:szCs w:val="28"/>
          <w14:textFill>
            <w14:solidFill>
              <w14:schemeClr w14:val="tx1"/>
            </w14:solidFill>
          </w14:textFill>
        </w:rPr>
      </w:pPr>
      <w:r>
        <w:rPr>
          <w:rFonts w:hint="eastAsia" w:ascii="宋体" w:hAnsi="宋体"/>
          <w:color w:val="000000" w:themeColor="text1"/>
          <w:sz w:val="22"/>
          <w:szCs w:val="28"/>
          <w14:textFill>
            <w14:solidFill>
              <w14:schemeClr w14:val="tx1"/>
            </w14:solidFill>
          </w14:textFill>
        </w:rPr>
        <w:t>(五)乙方在接到委托后应在3日内向甲方提交地价结果，经甲方审议通过后5个工作日内提交经备案的土地估价报告（含技术报告）。估价结果一旦提交，原则上不得修改，确需修改的需说明原因，并经甲方同意后在1个工作日内重新提交；遇特殊情形或不可抗力因素影响，确需延长工作时间的，征得甲方同意后给予适当延长。</w:t>
      </w:r>
    </w:p>
    <w:p>
      <w:pPr>
        <w:spacing w:before="120" w:beforeLines="50" w:after="120" w:afterLines="50" w:line="360" w:lineRule="auto"/>
        <w:ind w:firstLine="422" w:firstLineChars="192"/>
        <w:rPr>
          <w:rFonts w:ascii="宋体" w:hAnsi="宋体"/>
          <w:color w:val="000000" w:themeColor="text1"/>
          <w:sz w:val="22"/>
          <w:szCs w:val="28"/>
          <w14:textFill>
            <w14:solidFill>
              <w14:schemeClr w14:val="tx1"/>
            </w14:solidFill>
          </w14:textFill>
        </w:rPr>
      </w:pPr>
      <w:r>
        <w:rPr>
          <w:rFonts w:hint="eastAsia" w:ascii="宋体" w:hAnsi="宋体"/>
          <w:color w:val="000000" w:themeColor="text1"/>
          <w:sz w:val="22"/>
          <w:szCs w:val="28"/>
          <w14:textFill>
            <w14:solidFill>
              <w14:schemeClr w14:val="tx1"/>
            </w14:solidFill>
          </w14:textFill>
        </w:rPr>
        <w:t>(六)对因项目紧急，需加急评估的项目，乙方应抽调精干力量配合甲方优先评估，在保证评估质量的基础上，确保及时上会。</w:t>
      </w:r>
    </w:p>
    <w:p>
      <w:pPr>
        <w:spacing w:before="120" w:beforeLines="50" w:after="120" w:afterLines="50" w:line="360" w:lineRule="auto"/>
        <w:ind w:firstLine="422" w:firstLineChars="192"/>
        <w:rPr>
          <w:rFonts w:ascii="宋体" w:hAnsi="宋体"/>
          <w:color w:val="000000" w:themeColor="text1"/>
          <w:sz w:val="22"/>
          <w:szCs w:val="28"/>
          <w14:textFill>
            <w14:solidFill>
              <w14:schemeClr w14:val="tx1"/>
            </w14:solidFill>
          </w14:textFill>
        </w:rPr>
      </w:pPr>
      <w:r>
        <w:rPr>
          <w:rFonts w:hint="eastAsia" w:ascii="宋体" w:hAnsi="宋体"/>
          <w:color w:val="000000" w:themeColor="text1"/>
          <w:sz w:val="22"/>
          <w:szCs w:val="28"/>
          <w14:textFill>
            <w14:solidFill>
              <w14:schemeClr w14:val="tx1"/>
            </w14:solidFill>
          </w14:textFill>
        </w:rPr>
        <w:t>(七)就评估的重大政策、标准方法和技术问题与甲方保持密切沟通。</w:t>
      </w:r>
    </w:p>
    <w:p>
      <w:pPr>
        <w:spacing w:before="120" w:beforeLines="50" w:after="120" w:afterLines="50" w:line="360" w:lineRule="auto"/>
        <w:ind w:firstLine="422" w:firstLineChars="192"/>
        <w:rPr>
          <w:rFonts w:ascii="宋体" w:hAnsi="宋体"/>
          <w:color w:val="000000" w:themeColor="text1"/>
          <w:sz w:val="22"/>
          <w:szCs w:val="28"/>
          <w14:textFill>
            <w14:solidFill>
              <w14:schemeClr w14:val="tx1"/>
            </w14:solidFill>
          </w14:textFill>
        </w:rPr>
      </w:pPr>
      <w:r>
        <w:rPr>
          <w:rFonts w:hint="eastAsia" w:ascii="宋体" w:hAnsi="宋体"/>
          <w:color w:val="000000" w:themeColor="text1"/>
          <w:sz w:val="22"/>
          <w:szCs w:val="28"/>
          <w14:textFill>
            <w14:solidFill>
              <w14:schemeClr w14:val="tx1"/>
            </w14:solidFill>
          </w14:textFill>
        </w:rPr>
        <w:t>(八)根据本合同约定向甲方提供专业、及时且优质的服务，保证严格按照与甲方约定的时间安排评估工作。</w:t>
      </w:r>
    </w:p>
    <w:p>
      <w:pPr>
        <w:spacing w:before="120" w:beforeLines="50" w:after="120" w:afterLines="50" w:line="360" w:lineRule="auto"/>
        <w:ind w:firstLine="422" w:firstLineChars="192"/>
        <w:rPr>
          <w:rFonts w:ascii="宋体" w:hAnsi="宋体"/>
          <w:color w:val="000000" w:themeColor="text1"/>
          <w:sz w:val="22"/>
          <w:szCs w:val="28"/>
          <w14:textFill>
            <w14:solidFill>
              <w14:schemeClr w14:val="tx1"/>
            </w14:solidFill>
          </w14:textFill>
        </w:rPr>
      </w:pPr>
      <w:r>
        <w:rPr>
          <w:rFonts w:hint="eastAsia" w:ascii="宋体" w:hAnsi="宋体"/>
          <w:color w:val="000000" w:themeColor="text1"/>
          <w:sz w:val="22"/>
          <w:szCs w:val="28"/>
          <w14:textFill>
            <w14:solidFill>
              <w14:schemeClr w14:val="tx1"/>
            </w14:solidFill>
          </w14:textFill>
        </w:rPr>
        <w:t>(九)制定严格的质量控制流程、方法及标准，保证评估价值公正合理。</w:t>
      </w:r>
    </w:p>
    <w:p>
      <w:pPr>
        <w:spacing w:before="120" w:beforeLines="50" w:after="120" w:afterLines="50" w:line="360" w:lineRule="auto"/>
        <w:ind w:firstLine="422" w:firstLineChars="192"/>
        <w:rPr>
          <w:rFonts w:ascii="宋体" w:hAnsi="宋体"/>
          <w:color w:val="000000" w:themeColor="text1"/>
          <w:sz w:val="22"/>
          <w:szCs w:val="28"/>
          <w14:textFill>
            <w14:solidFill>
              <w14:schemeClr w14:val="tx1"/>
            </w14:solidFill>
          </w14:textFill>
        </w:rPr>
      </w:pPr>
      <w:r>
        <w:rPr>
          <w:rFonts w:hint="eastAsia" w:ascii="宋体" w:hAnsi="宋体"/>
          <w:color w:val="000000" w:themeColor="text1"/>
          <w:sz w:val="22"/>
          <w:szCs w:val="28"/>
          <w14:textFill>
            <w14:solidFill>
              <w14:schemeClr w14:val="tx1"/>
            </w14:solidFill>
          </w14:textFill>
        </w:rPr>
        <w:t>(十)严格为甲方的内部资料、商业秘密、评估结果及约定的保密事项保守秘密，但因配合国家机关履行职责的除外（例如配合法院调查取证等）。</w:t>
      </w:r>
    </w:p>
    <w:p>
      <w:pPr>
        <w:spacing w:before="120" w:beforeLines="50" w:after="120" w:afterLines="50" w:line="360" w:lineRule="auto"/>
        <w:ind w:firstLine="422" w:firstLineChars="192"/>
        <w:rPr>
          <w:rFonts w:ascii="宋体" w:hAnsi="宋体"/>
          <w:color w:val="000000" w:themeColor="text1"/>
          <w:sz w:val="22"/>
          <w:szCs w:val="28"/>
          <w14:textFill>
            <w14:solidFill>
              <w14:schemeClr w14:val="tx1"/>
            </w14:solidFill>
          </w14:textFill>
        </w:rPr>
      </w:pPr>
      <w:r>
        <w:rPr>
          <w:rFonts w:hint="eastAsia" w:ascii="宋体" w:hAnsi="宋体"/>
          <w:color w:val="000000" w:themeColor="text1"/>
          <w:sz w:val="22"/>
          <w:szCs w:val="28"/>
          <w14:textFill>
            <w14:solidFill>
              <w14:schemeClr w14:val="tx1"/>
            </w14:solidFill>
          </w14:textFill>
        </w:rPr>
        <w:t>(十一)未经甲方书面许可，乙方不得将评估报告的内容向第三方提供或者公开，不得向用地单位或利益相关人泄露评估结果及内容，自觉接受甲方监督和管理，如因乙方原因给甲方造成损失的，应向甲方承担合同总金额20%的违约金，违约金不足弥补甲方损失的，还应就损失部分承担赔偿责任。</w:t>
      </w:r>
    </w:p>
    <w:p>
      <w:pPr>
        <w:tabs>
          <w:tab w:val="left" w:pos="420"/>
        </w:tabs>
        <w:snapToGrid w:val="0"/>
        <w:spacing w:before="120" w:beforeLines="50" w:after="120" w:afterLines="50"/>
        <w:ind w:firstLine="482"/>
        <w:rPr>
          <w:rFonts w:ascii="宋体" w:hAnsi="宋体"/>
          <w:b/>
          <w:sz w:val="22"/>
          <w:szCs w:val="28"/>
        </w:rPr>
      </w:pPr>
      <w:r>
        <w:rPr>
          <w:rFonts w:hint="eastAsia" w:ascii="宋体" w:hAnsi="宋体"/>
          <w:b/>
          <w:sz w:val="22"/>
          <w:szCs w:val="28"/>
        </w:rPr>
        <w:t>四、报酬（含费用）</w:t>
      </w:r>
    </w:p>
    <w:p>
      <w:pPr>
        <w:spacing w:before="120" w:beforeLines="50" w:after="120" w:afterLines="50" w:line="360" w:lineRule="auto"/>
        <w:ind w:firstLine="422" w:firstLineChars="192"/>
        <w:rPr>
          <w:rFonts w:ascii="宋体" w:hAnsi="宋体"/>
          <w:color w:val="000000" w:themeColor="text1"/>
          <w:sz w:val="22"/>
          <w:szCs w:val="28"/>
          <w14:textFill>
            <w14:solidFill>
              <w14:schemeClr w14:val="tx1"/>
            </w14:solidFill>
          </w14:textFill>
        </w:rPr>
      </w:pPr>
      <w:r>
        <w:rPr>
          <w:rFonts w:hint="eastAsia" w:ascii="宋体" w:hAnsi="宋体"/>
          <w:color w:val="000000" w:themeColor="text1"/>
          <w:sz w:val="22"/>
          <w:szCs w:val="28"/>
          <w14:textFill>
            <w14:solidFill>
              <w14:schemeClr w14:val="tx1"/>
            </w14:solidFill>
          </w14:textFill>
        </w:rPr>
        <w:t>(一)报酬数额</w:t>
      </w:r>
    </w:p>
    <w:p>
      <w:pPr>
        <w:spacing w:before="120" w:beforeLines="50" w:after="120" w:afterLines="50" w:line="360" w:lineRule="auto"/>
        <w:ind w:firstLine="422" w:firstLineChars="192"/>
        <w:rPr>
          <w:rFonts w:ascii="宋体" w:hAnsi="宋体"/>
          <w:color w:val="000000" w:themeColor="text1"/>
          <w:sz w:val="22"/>
          <w:szCs w:val="28"/>
          <w14:textFill>
            <w14:solidFill>
              <w14:schemeClr w14:val="tx1"/>
            </w14:solidFill>
          </w14:textFill>
        </w:rPr>
      </w:pPr>
      <w:r>
        <w:rPr>
          <w:rFonts w:hint="eastAsia" w:ascii="宋体" w:hAnsi="宋体"/>
          <w:color w:val="000000" w:themeColor="text1"/>
          <w:sz w:val="22"/>
          <w:szCs w:val="28"/>
          <w14:textFill>
            <w14:solidFill>
              <w14:schemeClr w14:val="tx1"/>
            </w14:solidFill>
          </w14:textFill>
        </w:rPr>
        <w:t>本评估服务费是指乙方按照本合同向甲方提供既定的委托评估服务应获得的报酬，包括差旅费、住宿费、通讯费等完成合同工作内容的所有相关费用。</w:t>
      </w:r>
    </w:p>
    <w:p>
      <w:pPr>
        <w:spacing w:before="120" w:beforeLines="50" w:after="120" w:afterLines="50" w:line="360" w:lineRule="auto"/>
        <w:ind w:firstLine="422" w:firstLineChars="192"/>
        <w:rPr>
          <w:rFonts w:ascii="宋体" w:hAnsi="宋体"/>
          <w:color w:val="000000" w:themeColor="text1"/>
          <w:sz w:val="22"/>
          <w:szCs w:val="28"/>
          <w14:textFill>
            <w14:solidFill>
              <w14:schemeClr w14:val="tx1"/>
            </w14:solidFill>
          </w14:textFill>
        </w:rPr>
      </w:pPr>
      <w:r>
        <w:rPr>
          <w:rFonts w:hint="eastAsia" w:ascii="宋体" w:hAnsi="宋体"/>
          <w:color w:val="000000" w:themeColor="text1"/>
          <w:sz w:val="22"/>
          <w:szCs w:val="28"/>
          <w14:textFill>
            <w14:solidFill>
              <w14:schemeClr w14:val="tx1"/>
            </w14:solidFill>
          </w14:textFill>
        </w:rPr>
        <w:t>1</w:t>
      </w:r>
      <w:r>
        <w:rPr>
          <w:rFonts w:hint="eastAsia" w:ascii="宋体" w:hAnsi="宋体"/>
          <w:color w:val="000000" w:themeColor="text1"/>
          <w:sz w:val="22"/>
          <w:szCs w:val="28"/>
          <w:lang w:eastAsia="zh-CN"/>
          <w14:textFill>
            <w14:solidFill>
              <w14:schemeClr w14:val="tx1"/>
            </w14:solidFill>
          </w14:textFill>
        </w:rPr>
        <w:t>、</w:t>
      </w:r>
      <w:r>
        <w:rPr>
          <w:rFonts w:hint="eastAsia" w:ascii="宋体" w:hAnsi="宋体"/>
          <w:color w:val="000000" w:themeColor="text1"/>
          <w:sz w:val="22"/>
          <w:szCs w:val="28"/>
          <w14:textFill>
            <w14:solidFill>
              <w14:schemeClr w14:val="tx1"/>
            </w14:solidFill>
          </w14:textFill>
        </w:rPr>
        <w:t>单宗地项目评估服务费</w:t>
      </w:r>
    </w:p>
    <w:p>
      <w:pPr>
        <w:spacing w:before="120" w:beforeLines="50" w:after="120" w:afterLines="50" w:line="360" w:lineRule="auto"/>
        <w:ind w:firstLine="422" w:firstLineChars="192"/>
        <w:rPr>
          <w:rFonts w:ascii="宋体" w:hAnsi="宋体"/>
          <w:color w:val="000000" w:themeColor="text1"/>
          <w:sz w:val="22"/>
          <w:szCs w:val="28"/>
          <w14:textFill>
            <w14:solidFill>
              <w14:schemeClr w14:val="tx1"/>
            </w14:solidFill>
          </w14:textFill>
        </w:rPr>
      </w:pPr>
      <w:r>
        <w:rPr>
          <w:rFonts w:hint="eastAsia" w:ascii="宋体" w:hAnsi="宋体"/>
          <w:color w:val="000000" w:themeColor="text1"/>
          <w:sz w:val="22"/>
          <w:szCs w:val="28"/>
          <w14:textFill>
            <w14:solidFill>
              <w14:schemeClr w14:val="tx1"/>
            </w14:solidFill>
          </w14:textFill>
        </w:rPr>
        <w:t>根据雄安新区土地评估机构招标项目（采购编号/包号：2141STCX2121/01-08）中标费率，按《关于土地价格评估收费的通知》（计价格【1994】2017号）规定标准的</w:t>
      </w:r>
      <w:r>
        <w:rPr>
          <w:rFonts w:hint="eastAsia" w:ascii="宋体" w:hAnsi="宋体"/>
          <w:color w:val="000000" w:themeColor="text1"/>
          <w:sz w:val="22"/>
          <w:szCs w:val="28"/>
          <w:u w:val="single"/>
          <w14:textFill>
            <w14:solidFill>
              <w14:schemeClr w14:val="tx1"/>
            </w14:solidFill>
          </w14:textFill>
        </w:rPr>
        <w:t xml:space="preserve">  </w:t>
      </w:r>
      <w:r>
        <w:rPr>
          <w:rFonts w:ascii="宋体" w:hAnsi="宋体"/>
          <w:color w:val="000000" w:themeColor="text1"/>
          <w:sz w:val="22"/>
          <w:szCs w:val="28"/>
          <w:u w:val="single"/>
          <w14:textFill>
            <w14:solidFill>
              <w14:schemeClr w14:val="tx1"/>
            </w14:solidFill>
          </w14:textFill>
        </w:rPr>
        <w:t>48</w:t>
      </w:r>
      <w:r>
        <w:rPr>
          <w:rFonts w:hint="eastAsia" w:ascii="宋体" w:hAnsi="宋体"/>
          <w:color w:val="000000" w:themeColor="text1"/>
          <w:sz w:val="22"/>
          <w:szCs w:val="28"/>
          <w:u w:val="single"/>
          <w14:textFill>
            <w14:solidFill>
              <w14:schemeClr w14:val="tx1"/>
            </w14:solidFill>
          </w14:textFill>
        </w:rPr>
        <w:t xml:space="preserve"> %</w:t>
      </w:r>
      <w:r>
        <w:rPr>
          <w:rFonts w:hint="eastAsia" w:ascii="宋体" w:hAnsi="宋体"/>
          <w:color w:val="000000" w:themeColor="text1"/>
          <w:sz w:val="22"/>
          <w:szCs w:val="28"/>
          <w14:textFill>
            <w14:solidFill>
              <w14:schemeClr w14:val="tx1"/>
            </w14:solidFill>
          </w14:textFill>
        </w:rPr>
        <w:t>支付。</w:t>
      </w:r>
    </w:p>
    <w:p>
      <w:pPr>
        <w:spacing w:before="120" w:beforeLines="50" w:after="120" w:afterLines="50" w:line="360" w:lineRule="auto"/>
        <w:ind w:firstLine="422" w:firstLineChars="192"/>
        <w:rPr>
          <w:rFonts w:ascii="宋体" w:hAnsi="宋体"/>
          <w:color w:val="000000" w:themeColor="text1"/>
          <w:sz w:val="22"/>
          <w:szCs w:val="28"/>
          <w14:textFill>
            <w14:solidFill>
              <w14:schemeClr w14:val="tx1"/>
            </w14:solidFill>
          </w14:textFill>
        </w:rPr>
      </w:pPr>
      <w:r>
        <w:rPr>
          <w:rFonts w:hint="eastAsia" w:ascii="宋体" w:hAnsi="宋体"/>
          <w:color w:val="000000" w:themeColor="text1"/>
          <w:sz w:val="22"/>
          <w:szCs w:val="28"/>
          <w14:textFill>
            <w14:solidFill>
              <w14:schemeClr w14:val="tx1"/>
            </w14:solidFill>
          </w14:textFill>
        </w:rPr>
        <w:t>2、“一地多评”项目评估服务费</w:t>
      </w:r>
    </w:p>
    <w:p>
      <w:pPr>
        <w:spacing w:before="120" w:beforeLines="50" w:after="120" w:afterLines="50" w:line="360" w:lineRule="auto"/>
        <w:ind w:firstLine="422" w:firstLineChars="192"/>
        <w:rPr>
          <w:rFonts w:ascii="宋体" w:hAnsi="宋体"/>
          <w:color w:val="000000" w:themeColor="text1"/>
          <w:sz w:val="22"/>
          <w:szCs w:val="28"/>
          <w14:textFill>
            <w14:solidFill>
              <w14:schemeClr w14:val="tx1"/>
            </w14:solidFill>
          </w14:textFill>
        </w:rPr>
      </w:pPr>
      <w:r>
        <w:rPr>
          <w:rFonts w:hint="eastAsia" w:ascii="宋体" w:hAnsi="宋体"/>
          <w:color w:val="000000" w:themeColor="text1"/>
          <w:sz w:val="22"/>
          <w:szCs w:val="28"/>
          <w14:textFill>
            <w14:solidFill>
              <w14:schemeClr w14:val="tx1"/>
            </w14:solidFill>
          </w14:textFill>
        </w:rPr>
        <w:t>一是各评估单位评估地价相差在15%以内的，选取最接近底价的1家评估公司出具正式土地评估报告，并进行土地估价报告备案，评估服务费用按中标费率支付；其他评估单位只需出具正式土地评估报告，不进行备案，评估服务费用按《关于土地价格评估收费的通知》（计价格【1994】2017号）规定标准的 30%支付。</w:t>
      </w:r>
    </w:p>
    <w:p>
      <w:pPr>
        <w:spacing w:before="120" w:beforeLines="50" w:after="120" w:afterLines="50" w:line="360" w:lineRule="auto"/>
        <w:ind w:firstLine="422" w:firstLineChars="192"/>
        <w:rPr>
          <w:rFonts w:ascii="宋体" w:hAnsi="宋体"/>
          <w:color w:val="000000" w:themeColor="text1"/>
          <w:sz w:val="22"/>
          <w:szCs w:val="28"/>
          <w14:textFill>
            <w14:solidFill>
              <w14:schemeClr w14:val="tx1"/>
            </w14:solidFill>
          </w14:textFill>
        </w:rPr>
      </w:pPr>
      <w:r>
        <w:rPr>
          <w:rFonts w:hint="eastAsia" w:ascii="宋体" w:hAnsi="宋体"/>
          <w:color w:val="000000" w:themeColor="text1"/>
          <w:sz w:val="22"/>
          <w:szCs w:val="28"/>
          <w14:textFill>
            <w14:solidFill>
              <w14:schemeClr w14:val="tx1"/>
            </w14:solidFill>
          </w14:textFill>
        </w:rPr>
        <w:t>二是各评估单位评估地价相差超过15%的，由甲方明确1家牵头单位组织8家入围的估价机构集体研讨提出建议底价，牵头公司出具评估报告、备案，评估服务费用按中标费率支付。</w:t>
      </w:r>
    </w:p>
    <w:p>
      <w:pPr>
        <w:spacing w:before="120" w:beforeLines="50" w:after="120" w:afterLines="50" w:line="360" w:lineRule="auto"/>
        <w:ind w:firstLine="422" w:firstLineChars="192"/>
        <w:rPr>
          <w:rFonts w:ascii="宋体" w:hAnsi="宋体"/>
          <w:color w:val="000000" w:themeColor="text1"/>
          <w:sz w:val="22"/>
          <w:szCs w:val="28"/>
          <w14:textFill>
            <w14:solidFill>
              <w14:schemeClr w14:val="tx1"/>
            </w14:solidFill>
          </w14:textFill>
        </w:rPr>
      </w:pPr>
      <w:r>
        <w:rPr>
          <w:rFonts w:hint="eastAsia" w:ascii="宋体" w:hAnsi="宋体"/>
          <w:color w:val="000000" w:themeColor="text1"/>
          <w:sz w:val="22"/>
          <w:szCs w:val="28"/>
          <w14:textFill>
            <w14:solidFill>
              <w14:schemeClr w14:val="tx1"/>
            </w14:solidFill>
          </w14:textFill>
        </w:rPr>
        <w:t>各评估单位与建议底价相差在15%以内的，出具正式土地评估报告，不进行备案，评估服务费用按《关于土地价格评估收费的通知》（计价格【1994】2017号）规定标准的 30%计取；与建议底价相差超过15%的，则参评公司均视为不能客观反映地价真实水平的，不予支付费用，并记录一次考核不合格。</w:t>
      </w:r>
    </w:p>
    <w:p>
      <w:pPr>
        <w:spacing w:before="120" w:beforeLines="50" w:after="120" w:afterLines="50" w:line="360" w:lineRule="auto"/>
        <w:ind w:firstLine="422" w:firstLineChars="192"/>
        <w:rPr>
          <w:rFonts w:ascii="宋体" w:hAnsi="宋体"/>
          <w:color w:val="000000" w:themeColor="text1"/>
          <w:sz w:val="22"/>
          <w:szCs w:val="28"/>
          <w14:textFill>
            <w14:solidFill>
              <w14:schemeClr w14:val="tx1"/>
            </w14:solidFill>
          </w14:textFill>
        </w:rPr>
      </w:pPr>
      <w:r>
        <w:rPr>
          <w:rFonts w:hint="eastAsia" w:ascii="宋体" w:hAnsi="宋体"/>
          <w:color w:val="000000" w:themeColor="text1"/>
          <w:sz w:val="22"/>
          <w:szCs w:val="28"/>
          <w14:textFill>
            <w14:solidFill>
              <w14:schemeClr w14:val="tx1"/>
            </w14:solidFill>
          </w14:textFill>
        </w:rPr>
        <w:t>乙方应向甲方开具符合国家法律规定的正式专用发票。甲方可直接汇款至乙方指定的银行帐户或提供支票。</w:t>
      </w:r>
    </w:p>
    <w:p>
      <w:pPr>
        <w:spacing w:before="120" w:beforeLines="50" w:after="120" w:afterLines="50" w:line="360" w:lineRule="auto"/>
        <w:ind w:firstLine="422" w:firstLineChars="192"/>
        <w:rPr>
          <w:rFonts w:ascii="宋体" w:hAnsi="宋体"/>
          <w:color w:val="000000" w:themeColor="text1"/>
          <w:sz w:val="22"/>
          <w:szCs w:val="28"/>
          <w14:textFill>
            <w14:solidFill>
              <w14:schemeClr w14:val="tx1"/>
            </w14:solidFill>
          </w14:textFill>
        </w:rPr>
      </w:pPr>
      <w:r>
        <w:rPr>
          <w:rFonts w:hint="eastAsia" w:ascii="宋体" w:hAnsi="宋体"/>
          <w:color w:val="000000" w:themeColor="text1"/>
          <w:sz w:val="22"/>
          <w:szCs w:val="28"/>
          <w14:textFill>
            <w14:solidFill>
              <w14:schemeClr w14:val="tx1"/>
            </w14:solidFill>
          </w14:textFill>
        </w:rPr>
        <w:t>单位名称：北京康正宏基房地产评估有限公司</w:t>
      </w:r>
    </w:p>
    <w:p>
      <w:pPr>
        <w:spacing w:before="120" w:beforeLines="50" w:after="120" w:afterLines="50" w:line="360" w:lineRule="auto"/>
        <w:ind w:firstLine="422" w:firstLineChars="192"/>
        <w:rPr>
          <w:rFonts w:ascii="宋体" w:hAnsi="宋体"/>
          <w:color w:val="000000" w:themeColor="text1"/>
          <w:sz w:val="22"/>
          <w:szCs w:val="28"/>
          <w14:textFill>
            <w14:solidFill>
              <w14:schemeClr w14:val="tx1"/>
            </w14:solidFill>
          </w14:textFill>
        </w:rPr>
      </w:pPr>
      <w:r>
        <w:rPr>
          <w:rFonts w:hint="eastAsia" w:ascii="宋体" w:hAnsi="宋体"/>
          <w:color w:val="000000" w:themeColor="text1"/>
          <w:sz w:val="22"/>
          <w:szCs w:val="28"/>
          <w14:textFill>
            <w14:solidFill>
              <w14:schemeClr w14:val="tx1"/>
            </w14:solidFill>
          </w14:textFill>
        </w:rPr>
        <w:t>开 户 行：交通银行北京和平里支行</w:t>
      </w:r>
    </w:p>
    <w:p>
      <w:pPr>
        <w:spacing w:before="120" w:beforeLines="50" w:after="120" w:afterLines="50" w:line="360" w:lineRule="auto"/>
        <w:ind w:firstLine="422" w:firstLineChars="192"/>
        <w:rPr>
          <w:rFonts w:ascii="宋体" w:hAnsi="宋体"/>
          <w:color w:val="000000" w:themeColor="text1"/>
          <w:sz w:val="22"/>
          <w:szCs w:val="28"/>
          <w14:textFill>
            <w14:solidFill>
              <w14:schemeClr w14:val="tx1"/>
            </w14:solidFill>
          </w14:textFill>
        </w:rPr>
      </w:pPr>
      <w:r>
        <w:rPr>
          <w:rFonts w:hint="eastAsia" w:ascii="宋体" w:hAnsi="宋体"/>
          <w:color w:val="000000" w:themeColor="text1"/>
          <w:sz w:val="22"/>
          <w:szCs w:val="28"/>
          <w14:textFill>
            <w14:solidFill>
              <w14:schemeClr w14:val="tx1"/>
            </w14:solidFill>
          </w14:textFill>
        </w:rPr>
        <w:t>账    号：</w:t>
      </w:r>
      <w:r>
        <w:rPr>
          <w:rFonts w:ascii="宋体" w:hAnsi="宋体"/>
          <w:color w:val="000000" w:themeColor="text1"/>
          <w:sz w:val="22"/>
          <w:szCs w:val="28"/>
          <w14:textFill>
            <w14:solidFill>
              <w14:schemeClr w14:val="tx1"/>
            </w14:solidFill>
          </w14:textFill>
        </w:rPr>
        <w:t>110060739012015026873</w:t>
      </w:r>
    </w:p>
    <w:p>
      <w:pPr>
        <w:spacing w:before="120" w:beforeLines="50" w:after="120" w:afterLines="50" w:line="360" w:lineRule="auto"/>
        <w:ind w:firstLine="440" w:firstLineChars="200"/>
        <w:rPr>
          <w:rFonts w:ascii="宋体" w:hAnsi="宋体"/>
          <w:color w:val="000000" w:themeColor="text1"/>
          <w:sz w:val="22"/>
          <w:szCs w:val="28"/>
          <w14:textFill>
            <w14:solidFill>
              <w14:schemeClr w14:val="tx1"/>
            </w14:solidFill>
          </w14:textFill>
        </w:rPr>
      </w:pPr>
      <w:r>
        <w:rPr>
          <w:rFonts w:hint="eastAsia" w:ascii="宋体" w:hAnsi="宋体"/>
          <w:color w:val="000000" w:themeColor="text1"/>
          <w:sz w:val="22"/>
          <w:szCs w:val="28"/>
          <w14:textFill>
            <w14:solidFill>
              <w14:schemeClr w14:val="tx1"/>
            </w14:solidFill>
          </w14:textFill>
        </w:rPr>
        <w:t>(二)税费承担</w:t>
      </w:r>
    </w:p>
    <w:p>
      <w:pPr>
        <w:spacing w:before="120" w:beforeLines="50" w:after="120" w:afterLines="50" w:line="360" w:lineRule="auto"/>
        <w:ind w:firstLine="422" w:firstLineChars="192"/>
        <w:rPr>
          <w:rFonts w:ascii="宋体" w:hAnsi="宋体"/>
          <w:color w:val="000000" w:themeColor="text1"/>
          <w:sz w:val="22"/>
          <w:szCs w:val="28"/>
          <w14:textFill>
            <w14:solidFill>
              <w14:schemeClr w14:val="tx1"/>
            </w14:solidFill>
          </w14:textFill>
        </w:rPr>
      </w:pPr>
      <w:r>
        <w:rPr>
          <w:rFonts w:hint="eastAsia" w:ascii="宋体" w:hAnsi="宋体"/>
          <w:color w:val="000000" w:themeColor="text1"/>
          <w:sz w:val="22"/>
          <w:szCs w:val="28"/>
          <w14:textFill>
            <w14:solidFill>
              <w14:schemeClr w14:val="tx1"/>
            </w14:solidFill>
          </w14:textFill>
        </w:rPr>
        <w:t>乙方应自行承担任何税收征管机关就本合同约定的报酬征收的一切税项。</w:t>
      </w:r>
    </w:p>
    <w:p>
      <w:pPr>
        <w:spacing w:before="120" w:beforeLines="50" w:after="120" w:afterLines="50" w:line="360" w:lineRule="auto"/>
        <w:ind w:firstLine="422" w:firstLineChars="192"/>
        <w:rPr>
          <w:rFonts w:ascii="宋体" w:hAnsi="宋体"/>
          <w:color w:val="000000" w:themeColor="text1"/>
          <w:sz w:val="22"/>
          <w:szCs w:val="28"/>
          <w14:textFill>
            <w14:solidFill>
              <w14:schemeClr w14:val="tx1"/>
            </w14:solidFill>
          </w14:textFill>
        </w:rPr>
      </w:pPr>
      <w:r>
        <w:rPr>
          <w:rFonts w:hint="eastAsia" w:ascii="宋体" w:hAnsi="宋体"/>
          <w:color w:val="000000" w:themeColor="text1"/>
          <w:sz w:val="22"/>
          <w:szCs w:val="28"/>
          <w14:textFill>
            <w14:solidFill>
              <w14:schemeClr w14:val="tx1"/>
            </w14:solidFill>
          </w14:textFill>
        </w:rPr>
        <w:t>（三）付款方式：采用银行转账方式支付。</w:t>
      </w:r>
    </w:p>
    <w:p>
      <w:pPr>
        <w:tabs>
          <w:tab w:val="left" w:pos="420"/>
        </w:tabs>
        <w:snapToGrid w:val="0"/>
        <w:spacing w:before="120" w:beforeLines="50" w:after="120" w:afterLines="50"/>
        <w:ind w:firstLine="482"/>
        <w:rPr>
          <w:rFonts w:ascii="宋体" w:hAnsi="宋体"/>
          <w:b/>
          <w:sz w:val="22"/>
          <w:szCs w:val="28"/>
        </w:rPr>
      </w:pPr>
      <w:r>
        <w:rPr>
          <w:rFonts w:hint="eastAsia" w:ascii="宋体" w:hAnsi="宋体"/>
          <w:b/>
          <w:sz w:val="22"/>
          <w:szCs w:val="28"/>
        </w:rPr>
        <w:t>五、合同的变更</w:t>
      </w:r>
    </w:p>
    <w:p>
      <w:pPr>
        <w:spacing w:before="120" w:beforeLines="50" w:after="120" w:afterLines="50" w:line="360" w:lineRule="auto"/>
        <w:ind w:firstLine="422" w:firstLineChars="192"/>
        <w:rPr>
          <w:rFonts w:ascii="宋体" w:hAnsi="宋体"/>
          <w:color w:val="000000" w:themeColor="text1"/>
          <w:sz w:val="22"/>
          <w:szCs w:val="28"/>
          <w14:textFill>
            <w14:solidFill>
              <w14:schemeClr w14:val="tx1"/>
            </w14:solidFill>
          </w14:textFill>
        </w:rPr>
      </w:pPr>
      <w:r>
        <w:rPr>
          <w:rFonts w:hint="eastAsia" w:ascii="宋体" w:hAnsi="宋体"/>
          <w:color w:val="000000" w:themeColor="text1"/>
          <w:sz w:val="22"/>
          <w:szCs w:val="28"/>
          <w14:textFill>
            <w14:solidFill>
              <w14:schemeClr w14:val="tx1"/>
            </w14:solidFill>
          </w14:textFill>
        </w:rPr>
        <w:t>(一)由于不可预见的情况，影响约定业务的如期完成，或需提前出具报告，甲乙双方可要求变更约定事项或解除约定，但应及时通知对方，由双方协商解决。</w:t>
      </w:r>
    </w:p>
    <w:p>
      <w:pPr>
        <w:spacing w:before="120" w:beforeLines="50" w:after="120" w:afterLines="50" w:line="360" w:lineRule="auto"/>
        <w:ind w:firstLine="422" w:firstLineChars="192"/>
        <w:rPr>
          <w:rFonts w:ascii="宋体" w:hAnsi="宋体"/>
          <w:color w:val="000000" w:themeColor="text1"/>
          <w:sz w:val="22"/>
          <w:szCs w:val="28"/>
          <w14:textFill>
            <w14:solidFill>
              <w14:schemeClr w14:val="tx1"/>
            </w14:solidFill>
          </w14:textFill>
        </w:rPr>
      </w:pPr>
      <w:r>
        <w:rPr>
          <w:rFonts w:hint="eastAsia" w:ascii="宋体" w:hAnsi="宋体"/>
          <w:color w:val="000000" w:themeColor="text1"/>
          <w:sz w:val="22"/>
          <w:szCs w:val="28"/>
          <w14:textFill>
            <w14:solidFill>
              <w14:schemeClr w14:val="tx1"/>
            </w14:solidFill>
          </w14:textFill>
        </w:rPr>
        <w:t>(二)本约定书签订后，如评估目的、评估对象、评估基准日发生变化，或者评估范围发生重大变化，甲乙双方应签订补充协议或者重新签订业务约定书或者重新下达委托函。</w:t>
      </w:r>
    </w:p>
    <w:p>
      <w:pPr>
        <w:spacing w:before="120" w:beforeLines="50" w:after="120" w:afterLines="50" w:line="360" w:lineRule="auto"/>
        <w:ind w:firstLine="422" w:firstLineChars="192"/>
        <w:rPr>
          <w:rFonts w:ascii="宋体" w:hAnsi="宋体"/>
          <w:color w:val="000000" w:themeColor="text1"/>
          <w:sz w:val="22"/>
          <w:szCs w:val="28"/>
          <w14:textFill>
            <w14:solidFill>
              <w14:schemeClr w14:val="tx1"/>
            </w14:solidFill>
          </w14:textFill>
        </w:rPr>
      </w:pPr>
      <w:r>
        <w:rPr>
          <w:rFonts w:hint="eastAsia" w:ascii="宋体" w:hAnsi="宋体"/>
          <w:color w:val="000000" w:themeColor="text1"/>
          <w:sz w:val="22"/>
          <w:szCs w:val="28"/>
          <w14:textFill>
            <w14:solidFill>
              <w14:schemeClr w14:val="tx1"/>
            </w14:solidFill>
          </w14:textFill>
        </w:rPr>
        <w:t>(三)本约定书签订后，签约各方如发现相关事项约定不明确，或者履行评估程序受到限制需要增加、调整约定事项的，可以协商对约定书相关条款进行变更，并签订补充协议或者重新签订业务约定书。</w:t>
      </w:r>
    </w:p>
    <w:p>
      <w:pPr>
        <w:spacing w:before="120" w:beforeLines="50" w:after="120" w:afterLines="50" w:line="360" w:lineRule="auto"/>
        <w:ind w:firstLine="422" w:firstLineChars="192"/>
        <w:rPr>
          <w:rFonts w:ascii="宋体" w:hAnsi="宋体"/>
          <w:color w:val="000000" w:themeColor="text1"/>
          <w:sz w:val="22"/>
          <w:szCs w:val="28"/>
          <w14:textFill>
            <w14:solidFill>
              <w14:schemeClr w14:val="tx1"/>
            </w14:solidFill>
          </w14:textFill>
        </w:rPr>
      </w:pPr>
      <w:r>
        <w:rPr>
          <w:rFonts w:hint="eastAsia" w:ascii="宋体" w:hAnsi="宋体"/>
          <w:color w:val="000000" w:themeColor="text1"/>
          <w:sz w:val="22"/>
          <w:szCs w:val="28"/>
          <w14:textFill>
            <w14:solidFill>
              <w14:schemeClr w14:val="tx1"/>
            </w14:solidFill>
          </w14:textFill>
        </w:rPr>
        <w:t>(四)本约定书的权利或责任，除非得到合同他方同意，不可转让。</w:t>
      </w:r>
    </w:p>
    <w:p>
      <w:pPr>
        <w:spacing w:before="120" w:beforeLines="50" w:after="120" w:afterLines="50" w:line="360" w:lineRule="auto"/>
        <w:ind w:firstLine="422" w:firstLineChars="192"/>
        <w:rPr>
          <w:rFonts w:ascii="宋体" w:hAnsi="宋体"/>
          <w:color w:val="000000" w:themeColor="text1"/>
          <w:sz w:val="22"/>
          <w:szCs w:val="28"/>
          <w14:textFill>
            <w14:solidFill>
              <w14:schemeClr w14:val="tx1"/>
            </w14:solidFill>
          </w14:textFill>
        </w:rPr>
      </w:pPr>
      <w:r>
        <w:rPr>
          <w:rFonts w:hint="eastAsia" w:ascii="宋体" w:hAnsi="宋体"/>
          <w:color w:val="000000" w:themeColor="text1"/>
          <w:sz w:val="22"/>
          <w:szCs w:val="28"/>
          <w14:textFill>
            <w14:solidFill>
              <w14:schemeClr w14:val="tx1"/>
            </w14:solidFill>
          </w14:textFill>
        </w:rPr>
        <w:t>(五)本合同的任何修改必须以书面做成，并于甲、乙双方签字、盖章后方对各方产生法律约束力。</w:t>
      </w:r>
    </w:p>
    <w:p>
      <w:pPr>
        <w:tabs>
          <w:tab w:val="left" w:pos="420"/>
        </w:tabs>
        <w:snapToGrid w:val="0"/>
        <w:spacing w:before="120" w:beforeLines="50" w:after="120" w:afterLines="50"/>
        <w:ind w:firstLine="482"/>
        <w:rPr>
          <w:rFonts w:ascii="宋体" w:hAnsi="宋体"/>
          <w:sz w:val="22"/>
          <w:szCs w:val="28"/>
        </w:rPr>
      </w:pPr>
      <w:r>
        <w:rPr>
          <w:rFonts w:hint="eastAsia" w:ascii="宋体" w:hAnsi="宋体"/>
          <w:b/>
          <w:bCs/>
          <w:sz w:val="22"/>
          <w:szCs w:val="28"/>
        </w:rPr>
        <w:t>六、违约责任</w:t>
      </w:r>
    </w:p>
    <w:p>
      <w:pPr>
        <w:spacing w:before="120" w:beforeLines="50" w:after="120" w:afterLines="50" w:line="360" w:lineRule="auto"/>
        <w:ind w:firstLine="422" w:firstLineChars="192"/>
        <w:rPr>
          <w:rFonts w:ascii="宋体" w:hAnsi="宋体"/>
          <w:color w:val="000000" w:themeColor="text1"/>
          <w:sz w:val="22"/>
          <w:szCs w:val="28"/>
          <w14:textFill>
            <w14:solidFill>
              <w14:schemeClr w14:val="tx1"/>
            </w14:solidFill>
          </w14:textFill>
        </w:rPr>
      </w:pPr>
      <w:r>
        <w:rPr>
          <w:rFonts w:hint="eastAsia" w:ascii="宋体" w:hAnsi="宋体"/>
          <w:color w:val="000000" w:themeColor="text1"/>
          <w:sz w:val="22"/>
          <w:szCs w:val="28"/>
          <w14:textFill>
            <w14:solidFill>
              <w14:schemeClr w14:val="tx1"/>
            </w14:solidFill>
          </w14:textFill>
        </w:rPr>
        <w:t>(一)因乙方不履行本合同义务或履行本合同义务不符合约定及法律规定，给甲方造成损失，乙方应对甲方因此遭受的损失依法承担赔偿责任。</w:t>
      </w:r>
    </w:p>
    <w:p>
      <w:pPr>
        <w:spacing w:before="120" w:beforeLines="50" w:after="120" w:afterLines="50" w:line="360" w:lineRule="auto"/>
        <w:ind w:firstLine="422" w:firstLineChars="192"/>
        <w:rPr>
          <w:rFonts w:ascii="宋体" w:hAnsi="宋体"/>
          <w:color w:val="000000" w:themeColor="text1"/>
          <w:sz w:val="22"/>
          <w:szCs w:val="28"/>
          <w14:textFill>
            <w14:solidFill>
              <w14:schemeClr w14:val="tx1"/>
            </w14:solidFill>
          </w14:textFill>
        </w:rPr>
      </w:pPr>
      <w:r>
        <w:rPr>
          <w:rFonts w:hint="eastAsia" w:ascii="宋体" w:hAnsi="宋体"/>
          <w:color w:val="000000" w:themeColor="text1"/>
          <w:sz w:val="22"/>
          <w:szCs w:val="28"/>
          <w14:textFill>
            <w14:solidFill>
              <w14:schemeClr w14:val="tx1"/>
            </w14:solidFill>
          </w14:textFill>
        </w:rPr>
        <w:t>(二)因不可抗力不履行或不能适当履行本合同的义务，可根据不可抗力事件程度予以部分或全部豁免，法律法规另有规定的除外。不可抗力事件后，应尽快通知对方，并应提供有权机关书面证明。</w:t>
      </w:r>
    </w:p>
    <w:p>
      <w:pPr>
        <w:spacing w:before="120" w:beforeLines="50" w:after="120" w:afterLines="50" w:line="360" w:lineRule="auto"/>
        <w:ind w:firstLine="422" w:firstLineChars="192"/>
        <w:rPr>
          <w:rFonts w:ascii="宋体" w:hAnsi="宋体"/>
          <w:color w:val="000000" w:themeColor="text1"/>
          <w:sz w:val="22"/>
          <w:szCs w:val="28"/>
          <w14:textFill>
            <w14:solidFill>
              <w14:schemeClr w14:val="tx1"/>
            </w14:solidFill>
          </w14:textFill>
        </w:rPr>
      </w:pPr>
      <w:r>
        <w:rPr>
          <w:rFonts w:hint="eastAsia" w:ascii="宋体" w:hAnsi="宋体"/>
          <w:color w:val="000000" w:themeColor="text1"/>
          <w:sz w:val="22"/>
          <w:szCs w:val="28"/>
          <w14:textFill>
            <w14:solidFill>
              <w14:schemeClr w14:val="tx1"/>
            </w14:solidFill>
          </w14:textFill>
        </w:rPr>
        <w:t>（三）乙方应按照投标文件的承诺提供服务团队人员，工作期间，未经甲方允许，乙方任意更换项目团队人员（含项目负责人），甲方有权将剩余服务工作另行委托，且不支付乙方该项目的服务费用，并记录一次考核不合格。</w:t>
      </w:r>
    </w:p>
    <w:p>
      <w:pPr>
        <w:spacing w:before="120" w:beforeLines="50" w:after="120" w:afterLines="50" w:line="360" w:lineRule="auto"/>
        <w:ind w:firstLine="422" w:firstLineChars="192"/>
        <w:rPr>
          <w:rFonts w:ascii="宋体" w:hAnsi="宋体"/>
          <w:color w:val="000000" w:themeColor="text1"/>
          <w:sz w:val="22"/>
          <w:szCs w:val="28"/>
          <w14:textFill>
            <w14:solidFill>
              <w14:schemeClr w14:val="tx1"/>
            </w14:solidFill>
          </w14:textFill>
        </w:rPr>
      </w:pPr>
      <w:r>
        <w:rPr>
          <w:rFonts w:hint="eastAsia" w:ascii="宋体" w:hAnsi="宋体"/>
          <w:color w:val="000000" w:themeColor="text1"/>
          <w:sz w:val="22"/>
          <w:szCs w:val="28"/>
          <w14:textFill>
            <w14:solidFill>
              <w14:schemeClr w14:val="tx1"/>
            </w14:solidFill>
          </w14:textFill>
        </w:rPr>
        <w:t>（四）在合同履约中，乙方未能按承诺的响应时间服务造成不能满足甲方要求的，甲方有权不支付乙方该项目的服务费用，并记录一次考核不合格。</w:t>
      </w:r>
      <w:r>
        <w:rPr>
          <w:rFonts w:hint="eastAsia" w:ascii="宋体" w:hAnsi="宋体"/>
          <w:color w:val="000000" w:themeColor="text1"/>
          <w:sz w:val="22"/>
          <w:szCs w:val="28"/>
          <w14:textFill>
            <w14:solidFill>
              <w14:schemeClr w14:val="tx1"/>
            </w14:solidFill>
          </w14:textFill>
        </w:rPr>
        <w:br w:type="textWrapping"/>
      </w:r>
      <w:r>
        <w:rPr>
          <w:rFonts w:hint="eastAsia" w:ascii="宋体" w:hAnsi="宋体"/>
          <w:color w:val="000000" w:themeColor="text1"/>
          <w:sz w:val="22"/>
          <w:szCs w:val="28"/>
          <w14:textFill>
            <w14:solidFill>
              <w14:schemeClr w14:val="tx1"/>
            </w14:solidFill>
          </w14:textFill>
        </w:rPr>
        <w:t xml:space="preserve">    （五）乙方有下列情形之一的，乙方一年内不得参与甲方涉及地价评估的所有招投标活动，并解除合同：</w:t>
      </w:r>
    </w:p>
    <w:p>
      <w:pPr>
        <w:spacing w:before="120" w:beforeLines="50" w:after="120" w:afterLines="50" w:line="360" w:lineRule="auto"/>
        <w:ind w:firstLine="422" w:firstLineChars="192"/>
        <w:rPr>
          <w:rFonts w:ascii="宋体" w:hAnsi="宋体"/>
          <w:color w:val="000000" w:themeColor="text1"/>
          <w:sz w:val="22"/>
          <w:szCs w:val="28"/>
          <w14:textFill>
            <w14:solidFill>
              <w14:schemeClr w14:val="tx1"/>
            </w14:solidFill>
          </w14:textFill>
        </w:rPr>
      </w:pPr>
      <w:r>
        <w:rPr>
          <w:rFonts w:hint="eastAsia" w:ascii="宋体" w:hAnsi="宋体"/>
          <w:color w:val="000000" w:themeColor="text1"/>
          <w:sz w:val="22"/>
          <w:szCs w:val="28"/>
          <w14:textFill>
            <w14:solidFill>
              <w14:schemeClr w14:val="tx1"/>
            </w14:solidFill>
          </w14:textFill>
        </w:rPr>
        <w:t>1.弄虚作假进行土地价格评估的；</w:t>
      </w:r>
    </w:p>
    <w:p>
      <w:pPr>
        <w:spacing w:before="120" w:beforeLines="50" w:after="120" w:afterLines="50" w:line="360" w:lineRule="auto"/>
        <w:ind w:firstLine="422" w:firstLineChars="192"/>
        <w:rPr>
          <w:rFonts w:ascii="宋体" w:hAnsi="宋体"/>
          <w:color w:val="000000" w:themeColor="text1"/>
          <w:sz w:val="22"/>
          <w:szCs w:val="28"/>
          <w14:textFill>
            <w14:solidFill>
              <w14:schemeClr w14:val="tx1"/>
            </w14:solidFill>
          </w14:textFill>
        </w:rPr>
      </w:pPr>
      <w:r>
        <w:rPr>
          <w:rFonts w:hint="eastAsia" w:ascii="宋体" w:hAnsi="宋体"/>
          <w:color w:val="000000" w:themeColor="text1"/>
          <w:sz w:val="22"/>
          <w:szCs w:val="28"/>
          <w14:textFill>
            <w14:solidFill>
              <w14:schemeClr w14:val="tx1"/>
            </w14:solidFill>
          </w14:textFill>
        </w:rPr>
        <w:t>2.三次以上（含三次）延误甲方委托任务或出现估价方法选用不当、估价技术路线错误、估价结果严重失真等情况，后果严重，耽误甲方工作，给甲方造成不良影响的；</w:t>
      </w:r>
    </w:p>
    <w:p>
      <w:pPr>
        <w:spacing w:before="120" w:beforeLines="50" w:after="120" w:afterLines="50" w:line="360" w:lineRule="auto"/>
        <w:ind w:firstLine="422" w:firstLineChars="192"/>
        <w:rPr>
          <w:rFonts w:ascii="宋体" w:hAnsi="宋体"/>
          <w:color w:val="000000" w:themeColor="text1"/>
          <w:sz w:val="22"/>
          <w:szCs w:val="28"/>
          <w14:textFill>
            <w14:solidFill>
              <w14:schemeClr w14:val="tx1"/>
            </w14:solidFill>
          </w14:textFill>
        </w:rPr>
      </w:pPr>
      <w:r>
        <w:rPr>
          <w:rFonts w:hint="eastAsia" w:ascii="宋体" w:hAnsi="宋体"/>
          <w:color w:val="000000" w:themeColor="text1"/>
          <w:sz w:val="22"/>
          <w:szCs w:val="28"/>
          <w14:textFill>
            <w14:solidFill>
              <w14:schemeClr w14:val="tx1"/>
            </w14:solidFill>
          </w14:textFill>
        </w:rPr>
        <w:t>3.将甲方委托宗地评估业务转包给第三方的；</w:t>
      </w:r>
    </w:p>
    <w:p>
      <w:pPr>
        <w:spacing w:before="120" w:beforeLines="50" w:after="120" w:afterLines="50" w:line="360" w:lineRule="auto"/>
        <w:ind w:firstLine="422" w:firstLineChars="192"/>
        <w:rPr>
          <w:rFonts w:ascii="宋体" w:hAnsi="宋体"/>
          <w:color w:val="000000" w:themeColor="text1"/>
          <w:sz w:val="22"/>
          <w:szCs w:val="28"/>
          <w14:textFill>
            <w14:solidFill>
              <w14:schemeClr w14:val="tx1"/>
            </w14:solidFill>
          </w14:textFill>
        </w:rPr>
      </w:pPr>
      <w:r>
        <w:rPr>
          <w:rFonts w:hint="eastAsia" w:ascii="宋体" w:hAnsi="宋体"/>
          <w:color w:val="000000" w:themeColor="text1"/>
          <w:sz w:val="22"/>
          <w:szCs w:val="28"/>
          <w14:textFill>
            <w14:solidFill>
              <w14:schemeClr w14:val="tx1"/>
            </w14:solidFill>
          </w14:textFill>
        </w:rPr>
        <w:t>4.与用地单位或其他第三方有任何不正当来往，影响地价评估结果客观公正的；</w:t>
      </w:r>
    </w:p>
    <w:p>
      <w:pPr>
        <w:spacing w:before="120" w:beforeLines="50" w:after="120" w:afterLines="50" w:line="360" w:lineRule="auto"/>
        <w:ind w:firstLine="422" w:firstLineChars="192"/>
        <w:rPr>
          <w:rFonts w:ascii="宋体" w:hAnsi="宋体"/>
          <w:color w:val="000000" w:themeColor="text1"/>
          <w:sz w:val="22"/>
          <w:szCs w:val="28"/>
          <w14:textFill>
            <w14:solidFill>
              <w14:schemeClr w14:val="tx1"/>
            </w14:solidFill>
          </w14:textFill>
        </w:rPr>
      </w:pPr>
      <w:r>
        <w:rPr>
          <w:rFonts w:hint="eastAsia" w:ascii="宋体" w:hAnsi="宋体"/>
          <w:color w:val="000000" w:themeColor="text1"/>
          <w:sz w:val="22"/>
          <w:szCs w:val="28"/>
          <w14:textFill>
            <w14:solidFill>
              <w14:schemeClr w14:val="tx1"/>
            </w14:solidFill>
          </w14:textFill>
        </w:rPr>
        <w:t>5.泄露甲方资料、各类数据和评估结果的；</w:t>
      </w:r>
    </w:p>
    <w:p>
      <w:pPr>
        <w:spacing w:before="120" w:beforeLines="50" w:after="120" w:afterLines="50" w:line="360" w:lineRule="auto"/>
        <w:ind w:firstLine="422" w:firstLineChars="192"/>
        <w:rPr>
          <w:rFonts w:ascii="宋体" w:hAnsi="宋体"/>
          <w:color w:val="000000" w:themeColor="text1"/>
          <w:sz w:val="22"/>
          <w:szCs w:val="28"/>
          <w14:textFill>
            <w14:solidFill>
              <w14:schemeClr w14:val="tx1"/>
            </w14:solidFill>
          </w14:textFill>
        </w:rPr>
      </w:pPr>
      <w:r>
        <w:rPr>
          <w:rFonts w:hint="eastAsia" w:ascii="宋体" w:hAnsi="宋体"/>
          <w:color w:val="000000" w:themeColor="text1"/>
          <w:sz w:val="22"/>
          <w:szCs w:val="28"/>
          <w14:textFill>
            <w14:solidFill>
              <w14:schemeClr w14:val="tx1"/>
            </w14:solidFill>
          </w14:textFill>
        </w:rPr>
        <w:t>6.合同上述条款考核不合格达到三次；</w:t>
      </w:r>
    </w:p>
    <w:p>
      <w:pPr>
        <w:spacing w:before="120" w:beforeLines="50" w:after="120" w:afterLines="50" w:line="360" w:lineRule="auto"/>
        <w:ind w:firstLine="422" w:firstLineChars="192"/>
        <w:rPr>
          <w:rFonts w:ascii="宋体" w:hAnsi="宋体"/>
          <w:color w:val="000000" w:themeColor="text1"/>
          <w:sz w:val="22"/>
          <w:szCs w:val="28"/>
          <w14:textFill>
            <w14:solidFill>
              <w14:schemeClr w14:val="tx1"/>
            </w14:solidFill>
          </w14:textFill>
        </w:rPr>
      </w:pPr>
      <w:r>
        <w:rPr>
          <w:rFonts w:hint="eastAsia" w:ascii="宋体" w:hAnsi="宋体"/>
          <w:color w:val="000000" w:themeColor="text1"/>
          <w:sz w:val="22"/>
          <w:szCs w:val="28"/>
          <w14:textFill>
            <w14:solidFill>
              <w14:schemeClr w14:val="tx1"/>
            </w14:solidFill>
          </w14:textFill>
        </w:rPr>
        <w:t>7.其他违反法律法规的情形。</w:t>
      </w:r>
    </w:p>
    <w:p>
      <w:pPr>
        <w:spacing w:before="120" w:beforeLines="50" w:after="120" w:afterLines="50" w:line="360" w:lineRule="auto"/>
        <w:ind w:firstLine="422" w:firstLineChars="192"/>
        <w:rPr>
          <w:rFonts w:ascii="宋体" w:hAnsi="宋体"/>
          <w:color w:val="000000" w:themeColor="text1"/>
          <w:sz w:val="22"/>
          <w:szCs w:val="28"/>
          <w14:textFill>
            <w14:solidFill>
              <w14:schemeClr w14:val="tx1"/>
            </w14:solidFill>
          </w14:textFill>
        </w:rPr>
      </w:pPr>
      <w:r>
        <w:rPr>
          <w:rFonts w:hint="eastAsia" w:ascii="宋体" w:hAnsi="宋体"/>
          <w:color w:val="000000" w:themeColor="text1"/>
          <w:sz w:val="22"/>
          <w:szCs w:val="28"/>
          <w14:textFill>
            <w14:solidFill>
              <w14:schemeClr w14:val="tx1"/>
            </w14:solidFill>
          </w14:textFill>
        </w:rPr>
        <w:t>本合同所称不可抗力是指在签订本合同时无法预料、对其发生无法避免并不能克服的客观事件。</w:t>
      </w:r>
    </w:p>
    <w:p>
      <w:pPr>
        <w:tabs>
          <w:tab w:val="left" w:pos="420"/>
        </w:tabs>
        <w:snapToGrid w:val="0"/>
        <w:spacing w:before="120" w:beforeLines="50" w:after="120" w:afterLines="50"/>
        <w:ind w:firstLine="482"/>
        <w:rPr>
          <w:rFonts w:ascii="宋体" w:hAnsi="宋体"/>
          <w:sz w:val="22"/>
          <w:szCs w:val="28"/>
        </w:rPr>
      </w:pPr>
      <w:r>
        <w:rPr>
          <w:rFonts w:hint="eastAsia" w:ascii="宋体" w:hAnsi="宋体"/>
          <w:b/>
          <w:bCs/>
          <w:sz w:val="22"/>
          <w:szCs w:val="28"/>
        </w:rPr>
        <w:t>七、法律适用</w:t>
      </w:r>
    </w:p>
    <w:p>
      <w:pPr>
        <w:spacing w:before="120" w:beforeLines="50" w:after="120" w:afterLines="50" w:line="360" w:lineRule="auto"/>
        <w:ind w:firstLine="422" w:firstLineChars="192"/>
        <w:rPr>
          <w:rFonts w:ascii="宋体" w:hAnsi="宋体"/>
          <w:color w:val="000000" w:themeColor="text1"/>
          <w:sz w:val="22"/>
          <w:szCs w:val="28"/>
          <w14:textFill>
            <w14:solidFill>
              <w14:schemeClr w14:val="tx1"/>
            </w14:solidFill>
          </w14:textFill>
        </w:rPr>
      </w:pPr>
      <w:r>
        <w:rPr>
          <w:rFonts w:hint="eastAsia" w:ascii="宋体" w:hAnsi="宋体"/>
          <w:color w:val="000000" w:themeColor="text1"/>
          <w:sz w:val="22"/>
          <w:szCs w:val="28"/>
          <w14:textFill>
            <w14:solidFill>
              <w14:schemeClr w14:val="tx1"/>
            </w14:solidFill>
          </w14:textFill>
        </w:rPr>
        <w:t>本合同的订立、履行、解除、终止、争议解决及解释均适用中华人民共和国法律。</w:t>
      </w:r>
    </w:p>
    <w:p>
      <w:pPr>
        <w:tabs>
          <w:tab w:val="left" w:pos="420"/>
        </w:tabs>
        <w:snapToGrid w:val="0"/>
        <w:spacing w:before="120" w:beforeLines="50" w:after="120" w:afterLines="50"/>
        <w:ind w:firstLine="482"/>
        <w:rPr>
          <w:rFonts w:ascii="Arial" w:hAnsi="宋体" w:cs="Arial"/>
          <w:sz w:val="22"/>
          <w:szCs w:val="28"/>
        </w:rPr>
      </w:pPr>
      <w:r>
        <w:rPr>
          <w:rFonts w:hint="eastAsia" w:ascii="Arial" w:hAnsi="宋体" w:cs="Arial"/>
          <w:b/>
          <w:bCs/>
          <w:sz w:val="22"/>
          <w:szCs w:val="28"/>
        </w:rPr>
        <w:t>八、争议解决</w:t>
      </w:r>
    </w:p>
    <w:p>
      <w:pPr>
        <w:spacing w:before="120" w:beforeLines="50" w:after="120" w:afterLines="50" w:line="360" w:lineRule="auto"/>
        <w:ind w:firstLine="422" w:firstLineChars="192"/>
        <w:rPr>
          <w:rFonts w:ascii="宋体" w:hAnsi="宋体"/>
          <w:color w:val="000000" w:themeColor="text1"/>
          <w:sz w:val="22"/>
          <w:szCs w:val="28"/>
          <w14:textFill>
            <w14:solidFill>
              <w14:schemeClr w14:val="tx1"/>
            </w14:solidFill>
          </w14:textFill>
        </w:rPr>
      </w:pPr>
      <w:r>
        <w:rPr>
          <w:rFonts w:hint="eastAsia" w:ascii="宋体" w:hAnsi="宋体"/>
          <w:color w:val="000000" w:themeColor="text1"/>
          <w:sz w:val="22"/>
          <w:szCs w:val="28"/>
          <w14:textFill>
            <w14:solidFill>
              <w14:schemeClr w14:val="tx1"/>
            </w14:solidFill>
          </w14:textFill>
        </w:rPr>
        <w:t>在本合同履行过程中发生争议，双方应当协商解决。协商调解不成的，双方均同意向甲方所在地人民法院提起诉讼。守约方维权费用由违约方全部承担，包括但不限于诉讼费、鉴定费、专家费、论证费、保全费、保函费、执行费、律师费、差旅费、公告费等全部维权费用。</w:t>
      </w:r>
    </w:p>
    <w:p>
      <w:pPr>
        <w:tabs>
          <w:tab w:val="left" w:pos="420"/>
        </w:tabs>
        <w:snapToGrid w:val="0"/>
        <w:spacing w:before="120" w:beforeLines="50" w:after="120" w:afterLines="50"/>
        <w:ind w:firstLine="482"/>
        <w:rPr>
          <w:rFonts w:ascii="Arial" w:hAnsi="宋体" w:cs="Arial"/>
          <w:b/>
          <w:bCs/>
          <w:sz w:val="22"/>
          <w:szCs w:val="28"/>
        </w:rPr>
      </w:pPr>
      <w:r>
        <w:rPr>
          <w:rFonts w:hint="eastAsia" w:ascii="Arial" w:hAnsi="宋体" w:cs="Arial"/>
          <w:b/>
          <w:bCs/>
          <w:sz w:val="22"/>
          <w:szCs w:val="28"/>
        </w:rPr>
        <w:t>九、本合同生效及其他</w:t>
      </w:r>
    </w:p>
    <w:p>
      <w:pPr>
        <w:spacing w:before="120" w:beforeLines="50" w:after="120" w:afterLines="50" w:line="360" w:lineRule="auto"/>
        <w:ind w:firstLine="422" w:firstLineChars="192"/>
        <w:rPr>
          <w:rFonts w:ascii="宋体" w:hAnsi="宋体"/>
          <w:color w:val="000000" w:themeColor="text1"/>
          <w:sz w:val="22"/>
          <w:szCs w:val="28"/>
          <w14:textFill>
            <w14:solidFill>
              <w14:schemeClr w14:val="tx1"/>
            </w14:solidFill>
          </w14:textFill>
        </w:rPr>
      </w:pPr>
      <w:r>
        <w:rPr>
          <w:rFonts w:hint="eastAsia" w:ascii="宋体" w:hAnsi="宋体"/>
          <w:color w:val="000000" w:themeColor="text1"/>
          <w:sz w:val="22"/>
          <w:szCs w:val="28"/>
          <w14:textFill>
            <w14:solidFill>
              <w14:schemeClr w14:val="tx1"/>
            </w14:solidFill>
          </w14:textFill>
        </w:rPr>
        <w:t>(一)本合同自双方法定代表人（或委托代理人）签署并加盖双方法人公章之日起生效。</w:t>
      </w:r>
    </w:p>
    <w:p>
      <w:pPr>
        <w:spacing w:before="120" w:beforeLines="50" w:after="120" w:afterLines="50" w:line="360" w:lineRule="auto"/>
        <w:ind w:firstLine="422" w:firstLineChars="192"/>
        <w:rPr>
          <w:rFonts w:ascii="宋体" w:hAnsi="宋体"/>
          <w:color w:val="000000" w:themeColor="text1"/>
          <w:sz w:val="22"/>
          <w:szCs w:val="28"/>
          <w14:textFill>
            <w14:solidFill>
              <w14:schemeClr w14:val="tx1"/>
            </w14:solidFill>
          </w14:textFill>
        </w:rPr>
      </w:pPr>
      <w:r>
        <w:rPr>
          <w:rFonts w:hint="eastAsia" w:ascii="宋体" w:hAnsi="宋体"/>
          <w:color w:val="000000" w:themeColor="text1"/>
          <w:sz w:val="22"/>
          <w:szCs w:val="28"/>
          <w14:textFill>
            <w14:solidFill>
              <w14:schemeClr w14:val="tx1"/>
            </w14:solidFill>
          </w14:textFill>
        </w:rPr>
        <w:t>(二)本合同未尽事宜，由双方另行友好协商并签署补充合同确定。</w:t>
      </w:r>
    </w:p>
    <w:p>
      <w:pPr>
        <w:spacing w:before="120" w:beforeLines="50" w:after="120" w:afterLines="50" w:line="360" w:lineRule="auto"/>
        <w:ind w:firstLine="422" w:firstLineChars="192"/>
        <w:rPr>
          <w:rFonts w:ascii="宋体" w:hAnsi="宋体"/>
          <w:color w:val="000000" w:themeColor="text1"/>
          <w:sz w:val="22"/>
          <w:szCs w:val="28"/>
          <w14:textFill>
            <w14:solidFill>
              <w14:schemeClr w14:val="tx1"/>
            </w14:solidFill>
          </w14:textFill>
        </w:rPr>
      </w:pPr>
      <w:r>
        <w:rPr>
          <w:rFonts w:hint="eastAsia" w:ascii="宋体" w:hAnsi="宋体"/>
          <w:color w:val="000000" w:themeColor="text1"/>
          <w:sz w:val="22"/>
          <w:szCs w:val="28"/>
          <w14:textFill>
            <w14:solidFill>
              <w14:schemeClr w14:val="tx1"/>
            </w14:solidFill>
          </w14:textFill>
        </w:rPr>
        <w:t>(三)补充合同是本合同的组成部分。</w:t>
      </w:r>
    </w:p>
    <w:p>
      <w:pPr>
        <w:spacing w:before="120" w:beforeLines="50" w:after="120" w:afterLines="50" w:line="360" w:lineRule="auto"/>
        <w:ind w:firstLine="422" w:firstLineChars="192"/>
        <w:rPr>
          <w:rFonts w:ascii="宋体" w:hAnsi="宋体"/>
          <w:color w:val="000000" w:themeColor="text1"/>
          <w:sz w:val="22"/>
          <w:szCs w:val="28"/>
          <w14:textFill>
            <w14:solidFill>
              <w14:schemeClr w14:val="tx1"/>
            </w14:solidFill>
          </w14:textFill>
        </w:rPr>
      </w:pPr>
      <w:r>
        <w:rPr>
          <w:rFonts w:hint="eastAsia" w:ascii="宋体" w:hAnsi="宋体"/>
          <w:color w:val="000000" w:themeColor="text1"/>
          <w:sz w:val="22"/>
          <w:szCs w:val="28"/>
          <w14:textFill>
            <w14:solidFill>
              <w14:schemeClr w14:val="tx1"/>
            </w14:solidFill>
          </w14:textFill>
        </w:rPr>
        <w:t>(四)本合同壹式陆份，甲方叁份，乙方叁份，具有同等法律效力。</w:t>
      </w:r>
    </w:p>
    <w:p>
      <w:pPr>
        <w:spacing w:before="120" w:beforeLines="50" w:after="120" w:afterLines="50" w:line="360" w:lineRule="auto"/>
        <w:ind w:firstLine="422" w:firstLineChars="192"/>
        <w:rPr>
          <w:rFonts w:ascii="宋体" w:hAnsi="宋体"/>
          <w:color w:val="000000" w:themeColor="text1"/>
          <w:sz w:val="22"/>
          <w:szCs w:val="28"/>
          <w14:textFill>
            <w14:solidFill>
              <w14:schemeClr w14:val="tx1"/>
            </w14:solidFill>
          </w14:textFill>
        </w:rPr>
      </w:pPr>
      <w:r>
        <w:rPr>
          <w:rFonts w:hint="eastAsia" w:ascii="宋体" w:hAnsi="宋体"/>
          <w:color w:val="000000" w:themeColor="text1"/>
          <w:sz w:val="22"/>
          <w:szCs w:val="28"/>
          <w14:textFill>
            <w14:solidFill>
              <w14:schemeClr w14:val="tx1"/>
            </w14:solidFill>
          </w14:textFill>
        </w:rPr>
        <w:t>(五)本合同使用的语言为中文。</w:t>
      </w:r>
    </w:p>
    <w:p>
      <w:pPr>
        <w:spacing w:before="120" w:beforeLines="50" w:after="120" w:afterLines="50" w:line="360" w:lineRule="auto"/>
        <w:ind w:firstLine="422" w:firstLineChars="192"/>
        <w:rPr>
          <w:rFonts w:ascii="宋体" w:hAnsi="宋体"/>
          <w:color w:val="000000" w:themeColor="text1"/>
          <w:sz w:val="22"/>
          <w:szCs w:val="28"/>
          <w14:textFill>
            <w14:solidFill>
              <w14:schemeClr w14:val="tx1"/>
            </w14:solidFill>
          </w14:textFill>
        </w:rPr>
      </w:pPr>
      <w:r>
        <w:rPr>
          <w:rFonts w:hint="eastAsia" w:ascii="宋体" w:hAnsi="宋体"/>
          <w:color w:val="000000" w:themeColor="text1"/>
          <w:sz w:val="22"/>
          <w:szCs w:val="28"/>
          <w14:textFill>
            <w14:solidFill>
              <w14:schemeClr w14:val="tx1"/>
            </w14:solidFill>
          </w14:textFill>
        </w:rPr>
        <w:t>(六)本合同由河北雄安新区管理委员会与受托方签订，具体项目委托函由河北雄安新区管理委员会规划建设局出具。</w:t>
      </w:r>
    </w:p>
    <w:p>
      <w:pPr>
        <w:spacing w:before="120" w:beforeLines="50" w:after="120" w:afterLines="50" w:line="360" w:lineRule="auto"/>
        <w:ind w:firstLine="422" w:firstLineChars="192"/>
        <w:rPr>
          <w:rFonts w:ascii="宋体" w:hAnsi="宋体"/>
          <w:color w:val="000000" w:themeColor="text1"/>
          <w:sz w:val="22"/>
          <w:szCs w:val="28"/>
          <w14:textFill>
            <w14:solidFill>
              <w14:schemeClr w14:val="tx1"/>
            </w14:solidFill>
          </w14:textFill>
        </w:rPr>
      </w:pPr>
    </w:p>
    <w:p>
      <w:pPr>
        <w:spacing w:before="120" w:beforeLines="50" w:after="120" w:afterLines="50" w:line="360" w:lineRule="auto"/>
        <w:ind w:firstLine="482"/>
      </w:pPr>
      <w:r>
        <w:rPr>
          <w:rFonts w:hint="eastAsia" w:ascii="Arial" w:hAnsi="宋体" w:cs="Arial"/>
          <w:sz w:val="22"/>
          <w:szCs w:val="28"/>
        </w:rPr>
        <w:t>合同附件：项目委托函格式</w:t>
      </w:r>
    </w:p>
    <w:tbl>
      <w:tblPr>
        <w:tblStyle w:val="8"/>
        <w:tblW w:w="8861" w:type="dxa"/>
        <w:jc w:val="center"/>
        <w:tblLayout w:type="fixed"/>
        <w:tblCellMar>
          <w:top w:w="0" w:type="dxa"/>
          <w:left w:w="108" w:type="dxa"/>
          <w:bottom w:w="0" w:type="dxa"/>
          <w:right w:w="108" w:type="dxa"/>
        </w:tblCellMar>
      </w:tblPr>
      <w:tblGrid>
        <w:gridCol w:w="4824"/>
        <w:gridCol w:w="4037"/>
      </w:tblGrid>
      <w:tr>
        <w:tblPrEx>
          <w:tblCellMar>
            <w:top w:w="0" w:type="dxa"/>
            <w:left w:w="108" w:type="dxa"/>
            <w:bottom w:w="0" w:type="dxa"/>
            <w:right w:w="108" w:type="dxa"/>
          </w:tblCellMar>
        </w:tblPrEx>
        <w:trPr>
          <w:trHeight w:val="818" w:hRule="exact"/>
          <w:jc w:val="center"/>
        </w:trPr>
        <w:tc>
          <w:tcPr>
            <w:tcW w:w="4824" w:type="dxa"/>
          </w:tcPr>
          <w:p>
            <w:pPr>
              <w:spacing w:before="120" w:beforeLines="50" w:after="120" w:afterLines="50" w:line="360" w:lineRule="auto"/>
              <w:rPr>
                <w:rFonts w:ascii="Arial" w:hAnsi="Arial" w:cs="Arial"/>
                <w:sz w:val="22"/>
                <w:szCs w:val="28"/>
              </w:rPr>
            </w:pPr>
            <w:r>
              <w:rPr>
                <w:rFonts w:ascii="Arial" w:hAnsi="Arial" w:cs="Arial"/>
                <w:sz w:val="22"/>
                <w:szCs w:val="28"/>
              </w:rPr>
              <w:br w:type="column"/>
            </w:r>
            <w:r>
              <w:rPr>
                <w:rFonts w:hint="eastAsia" w:ascii="Arial" w:hAnsi="宋体" w:cs="Arial"/>
                <w:sz w:val="22"/>
                <w:szCs w:val="28"/>
              </w:rPr>
              <w:t>单位名称：</w:t>
            </w:r>
          </w:p>
        </w:tc>
        <w:tc>
          <w:tcPr>
            <w:tcW w:w="4037" w:type="dxa"/>
          </w:tcPr>
          <w:p>
            <w:pPr>
              <w:spacing w:before="120" w:beforeLines="50" w:after="120" w:afterLines="50" w:line="360" w:lineRule="auto"/>
              <w:rPr>
                <w:rFonts w:ascii="Arial" w:hAnsi="Arial" w:cs="Arial"/>
                <w:sz w:val="22"/>
                <w:szCs w:val="28"/>
              </w:rPr>
            </w:pPr>
            <w:r>
              <w:rPr>
                <w:rFonts w:hint="eastAsia" w:ascii="Arial" w:hAnsi="宋体" w:cs="Arial"/>
                <w:sz w:val="22"/>
                <w:szCs w:val="28"/>
              </w:rPr>
              <w:t>单位名称：</w:t>
            </w:r>
            <w:r>
              <w:rPr>
                <w:rFonts w:hint="eastAsia" w:ascii="Arial" w:hAnsi="Arial" w:cs="Arial"/>
                <w:sz w:val="22"/>
                <w:szCs w:val="28"/>
              </w:rPr>
              <w:t>北京康正宏基房地产评估有限公司</w:t>
            </w:r>
          </w:p>
        </w:tc>
      </w:tr>
      <w:tr>
        <w:tblPrEx>
          <w:tblCellMar>
            <w:top w:w="0" w:type="dxa"/>
            <w:left w:w="108" w:type="dxa"/>
            <w:bottom w:w="0" w:type="dxa"/>
            <w:right w:w="108" w:type="dxa"/>
          </w:tblCellMar>
        </w:tblPrEx>
        <w:trPr>
          <w:trHeight w:val="510" w:hRule="exact"/>
          <w:jc w:val="center"/>
        </w:trPr>
        <w:tc>
          <w:tcPr>
            <w:tcW w:w="4824" w:type="dxa"/>
          </w:tcPr>
          <w:p>
            <w:pPr>
              <w:spacing w:before="120" w:beforeLines="50" w:after="120" w:afterLines="50" w:line="360" w:lineRule="auto"/>
              <w:rPr>
                <w:rFonts w:ascii="Arial" w:hAnsi="Arial" w:cs="Arial"/>
                <w:sz w:val="22"/>
                <w:szCs w:val="28"/>
              </w:rPr>
            </w:pPr>
            <w:r>
              <w:rPr>
                <w:rFonts w:hint="eastAsia" w:ascii="Arial" w:hAnsi="宋体" w:cs="Arial"/>
                <w:sz w:val="22"/>
                <w:szCs w:val="28"/>
              </w:rPr>
              <w:t>甲方（盖章）：</w:t>
            </w:r>
            <w:r>
              <w:rPr>
                <w:rFonts w:ascii="Arial" w:hAnsi="Arial" w:cs="Arial"/>
                <w:sz w:val="22"/>
                <w:szCs w:val="28"/>
              </w:rPr>
              <w:t xml:space="preserve"> </w:t>
            </w:r>
          </w:p>
        </w:tc>
        <w:tc>
          <w:tcPr>
            <w:tcW w:w="4037" w:type="dxa"/>
          </w:tcPr>
          <w:p>
            <w:pPr>
              <w:spacing w:before="120" w:beforeLines="50" w:after="120" w:afterLines="50" w:line="360" w:lineRule="auto"/>
              <w:rPr>
                <w:rFonts w:ascii="Arial" w:hAnsi="Arial" w:cs="Arial"/>
                <w:sz w:val="22"/>
                <w:szCs w:val="28"/>
              </w:rPr>
            </w:pPr>
            <w:r>
              <w:rPr>
                <w:rFonts w:hint="eastAsia" w:ascii="Arial" w:hAnsi="宋体" w:cs="Arial"/>
                <w:sz w:val="22"/>
                <w:szCs w:val="28"/>
              </w:rPr>
              <w:t>乙方（盖章）：</w:t>
            </w:r>
          </w:p>
        </w:tc>
      </w:tr>
      <w:tr>
        <w:tblPrEx>
          <w:tblCellMar>
            <w:top w:w="0" w:type="dxa"/>
            <w:left w:w="108" w:type="dxa"/>
            <w:bottom w:w="0" w:type="dxa"/>
            <w:right w:w="108" w:type="dxa"/>
          </w:tblCellMar>
        </w:tblPrEx>
        <w:trPr>
          <w:trHeight w:val="510" w:hRule="exact"/>
          <w:jc w:val="center"/>
        </w:trPr>
        <w:tc>
          <w:tcPr>
            <w:tcW w:w="4824" w:type="dxa"/>
          </w:tcPr>
          <w:p>
            <w:pPr>
              <w:spacing w:before="120" w:beforeLines="50" w:after="120" w:afterLines="50" w:line="360" w:lineRule="auto"/>
              <w:rPr>
                <w:rFonts w:ascii="Arial" w:hAnsi="宋体" w:cs="Arial"/>
                <w:sz w:val="22"/>
                <w:szCs w:val="28"/>
              </w:rPr>
            </w:pPr>
          </w:p>
        </w:tc>
        <w:tc>
          <w:tcPr>
            <w:tcW w:w="4037" w:type="dxa"/>
          </w:tcPr>
          <w:p>
            <w:pPr>
              <w:spacing w:before="120" w:beforeLines="50" w:after="120" w:afterLines="50" w:line="360" w:lineRule="auto"/>
              <w:rPr>
                <w:rFonts w:ascii="Arial" w:hAnsi="宋体" w:cs="Arial"/>
                <w:sz w:val="22"/>
                <w:szCs w:val="28"/>
              </w:rPr>
            </w:pPr>
          </w:p>
        </w:tc>
      </w:tr>
      <w:tr>
        <w:tblPrEx>
          <w:tblCellMar>
            <w:top w:w="0" w:type="dxa"/>
            <w:left w:w="108" w:type="dxa"/>
            <w:bottom w:w="0" w:type="dxa"/>
            <w:right w:w="108" w:type="dxa"/>
          </w:tblCellMar>
        </w:tblPrEx>
        <w:trPr>
          <w:trHeight w:val="510" w:hRule="exact"/>
          <w:jc w:val="center"/>
        </w:trPr>
        <w:tc>
          <w:tcPr>
            <w:tcW w:w="4824" w:type="dxa"/>
          </w:tcPr>
          <w:p>
            <w:pPr>
              <w:spacing w:before="120" w:beforeLines="50" w:after="120" w:afterLines="50" w:line="360" w:lineRule="auto"/>
              <w:rPr>
                <w:rFonts w:ascii="Arial" w:hAnsi="Arial" w:cs="Arial"/>
                <w:sz w:val="22"/>
                <w:szCs w:val="28"/>
              </w:rPr>
            </w:pPr>
            <w:r>
              <w:rPr>
                <w:rFonts w:hint="eastAsia" w:ascii="Arial" w:hAnsi="宋体" w:cs="Arial"/>
                <w:sz w:val="22"/>
                <w:szCs w:val="28"/>
              </w:rPr>
              <w:t>法定代表人</w:t>
            </w:r>
            <w:r>
              <w:rPr>
                <w:rFonts w:ascii="Arial" w:hAnsi="Arial" w:cs="Arial"/>
                <w:sz w:val="22"/>
                <w:szCs w:val="28"/>
              </w:rPr>
              <w:t xml:space="preserve"> </w:t>
            </w:r>
          </w:p>
        </w:tc>
        <w:tc>
          <w:tcPr>
            <w:tcW w:w="4037" w:type="dxa"/>
          </w:tcPr>
          <w:p>
            <w:pPr>
              <w:spacing w:before="120" w:beforeLines="50" w:after="120" w:afterLines="50" w:line="360" w:lineRule="auto"/>
              <w:rPr>
                <w:rFonts w:ascii="Arial" w:hAnsi="Arial" w:cs="Arial"/>
                <w:sz w:val="22"/>
                <w:szCs w:val="28"/>
              </w:rPr>
            </w:pPr>
            <w:r>
              <w:rPr>
                <w:rFonts w:hint="eastAsia" w:ascii="Arial" w:hAnsi="宋体" w:cs="Arial"/>
                <w:sz w:val="22"/>
                <w:szCs w:val="28"/>
              </w:rPr>
              <w:t>法定代表人</w:t>
            </w:r>
          </w:p>
        </w:tc>
      </w:tr>
      <w:tr>
        <w:tblPrEx>
          <w:tblCellMar>
            <w:top w:w="0" w:type="dxa"/>
            <w:left w:w="108" w:type="dxa"/>
            <w:bottom w:w="0" w:type="dxa"/>
            <w:right w:w="108" w:type="dxa"/>
          </w:tblCellMar>
        </w:tblPrEx>
        <w:trPr>
          <w:trHeight w:val="510" w:hRule="exact"/>
          <w:jc w:val="center"/>
        </w:trPr>
        <w:tc>
          <w:tcPr>
            <w:tcW w:w="4824" w:type="dxa"/>
          </w:tcPr>
          <w:p>
            <w:pPr>
              <w:spacing w:before="120" w:beforeLines="50" w:after="120" w:afterLines="50" w:line="360" w:lineRule="auto"/>
              <w:rPr>
                <w:rFonts w:ascii="Arial" w:hAnsi="Arial" w:cs="Arial"/>
                <w:sz w:val="22"/>
                <w:szCs w:val="28"/>
              </w:rPr>
            </w:pPr>
            <w:r>
              <w:rPr>
                <w:rFonts w:hint="eastAsia" w:ascii="Arial" w:hAnsi="Arial" w:cs="Arial"/>
                <w:sz w:val="22"/>
                <w:szCs w:val="28"/>
              </w:rPr>
              <w:t>或授权代理人：</w:t>
            </w:r>
          </w:p>
        </w:tc>
        <w:tc>
          <w:tcPr>
            <w:tcW w:w="4037" w:type="dxa"/>
          </w:tcPr>
          <w:p>
            <w:pPr>
              <w:spacing w:before="120" w:beforeLines="50" w:after="120" w:afterLines="50" w:line="360" w:lineRule="auto"/>
              <w:rPr>
                <w:rFonts w:ascii="Arial" w:hAnsi="Arial" w:cs="Arial"/>
                <w:sz w:val="22"/>
                <w:szCs w:val="28"/>
              </w:rPr>
            </w:pPr>
            <w:r>
              <w:rPr>
                <w:rFonts w:hint="eastAsia" w:ascii="Arial" w:hAnsi="Arial" w:cs="Arial"/>
                <w:sz w:val="22"/>
                <w:szCs w:val="28"/>
              </w:rPr>
              <w:t>或授权代理人：</w:t>
            </w:r>
            <w:r>
              <w:rPr>
                <w:rFonts w:ascii="Arial" w:hAnsi="Arial" w:cs="Arial"/>
                <w:sz w:val="22"/>
                <w:szCs w:val="28"/>
              </w:rPr>
              <w:t xml:space="preserve"> </w:t>
            </w:r>
          </w:p>
        </w:tc>
      </w:tr>
      <w:tr>
        <w:tblPrEx>
          <w:tblCellMar>
            <w:top w:w="0" w:type="dxa"/>
            <w:left w:w="108" w:type="dxa"/>
            <w:bottom w:w="0" w:type="dxa"/>
            <w:right w:w="108" w:type="dxa"/>
          </w:tblCellMar>
        </w:tblPrEx>
        <w:trPr>
          <w:trHeight w:val="510" w:hRule="exact"/>
          <w:jc w:val="center"/>
        </w:trPr>
        <w:tc>
          <w:tcPr>
            <w:tcW w:w="4824" w:type="dxa"/>
          </w:tcPr>
          <w:p>
            <w:pPr>
              <w:spacing w:before="120" w:beforeLines="50" w:after="120" w:afterLines="50" w:line="360" w:lineRule="auto"/>
              <w:rPr>
                <w:rFonts w:ascii="Arial" w:hAnsi="Arial" w:cs="Arial"/>
                <w:sz w:val="22"/>
                <w:szCs w:val="28"/>
              </w:rPr>
            </w:pPr>
            <w:r>
              <w:rPr>
                <w:rFonts w:hint="eastAsia" w:ascii="Arial" w:hAnsi="Arial" w:cs="Arial"/>
                <w:sz w:val="22"/>
                <w:szCs w:val="28"/>
              </w:rPr>
              <w:t xml:space="preserve">联系人： </w:t>
            </w:r>
          </w:p>
        </w:tc>
        <w:tc>
          <w:tcPr>
            <w:tcW w:w="4037" w:type="dxa"/>
          </w:tcPr>
          <w:p>
            <w:pPr>
              <w:spacing w:before="120" w:beforeLines="50" w:after="120" w:afterLines="50" w:line="360" w:lineRule="auto"/>
              <w:rPr>
                <w:rFonts w:ascii="Arial" w:hAnsi="Arial" w:cs="Arial"/>
                <w:sz w:val="22"/>
                <w:szCs w:val="28"/>
              </w:rPr>
            </w:pPr>
            <w:r>
              <w:rPr>
                <w:rFonts w:hint="eastAsia" w:ascii="Arial" w:hAnsi="Arial" w:cs="Arial"/>
                <w:sz w:val="22"/>
                <w:szCs w:val="28"/>
              </w:rPr>
              <w:t>联系人：叶凌</w:t>
            </w:r>
          </w:p>
        </w:tc>
      </w:tr>
      <w:tr>
        <w:tblPrEx>
          <w:tblCellMar>
            <w:top w:w="0" w:type="dxa"/>
            <w:left w:w="108" w:type="dxa"/>
            <w:bottom w:w="0" w:type="dxa"/>
            <w:right w:w="108" w:type="dxa"/>
          </w:tblCellMar>
        </w:tblPrEx>
        <w:trPr>
          <w:trHeight w:val="510" w:hRule="exact"/>
          <w:jc w:val="center"/>
        </w:trPr>
        <w:tc>
          <w:tcPr>
            <w:tcW w:w="4824" w:type="dxa"/>
          </w:tcPr>
          <w:p>
            <w:pPr>
              <w:spacing w:before="120" w:beforeLines="50" w:after="120" w:afterLines="50" w:line="360" w:lineRule="auto"/>
              <w:rPr>
                <w:rFonts w:ascii="Arial" w:hAnsi="Arial" w:cs="Arial"/>
                <w:sz w:val="22"/>
                <w:szCs w:val="28"/>
              </w:rPr>
            </w:pPr>
            <w:r>
              <w:rPr>
                <w:rFonts w:hint="eastAsia" w:ascii="Arial" w:hAnsi="Arial" w:cs="Arial"/>
                <w:sz w:val="22"/>
                <w:szCs w:val="28"/>
              </w:rPr>
              <w:t>电话：</w:t>
            </w:r>
            <w:r>
              <w:rPr>
                <w:rFonts w:ascii="Arial" w:hAnsi="Arial" w:cs="Arial"/>
                <w:sz w:val="22"/>
                <w:szCs w:val="28"/>
              </w:rPr>
              <w:t xml:space="preserve"> </w:t>
            </w:r>
          </w:p>
        </w:tc>
        <w:tc>
          <w:tcPr>
            <w:tcW w:w="4037" w:type="dxa"/>
          </w:tcPr>
          <w:p>
            <w:pPr>
              <w:spacing w:before="120" w:beforeLines="50" w:after="120" w:afterLines="50" w:line="360" w:lineRule="auto"/>
              <w:rPr>
                <w:rFonts w:ascii="Arial" w:hAnsi="Arial" w:cs="Arial"/>
                <w:sz w:val="22"/>
                <w:szCs w:val="28"/>
              </w:rPr>
            </w:pPr>
            <w:r>
              <w:rPr>
                <w:rFonts w:hint="eastAsia" w:ascii="Arial" w:hAnsi="Arial" w:cs="Arial"/>
                <w:sz w:val="22"/>
                <w:szCs w:val="28"/>
              </w:rPr>
              <w:t>电话：1</w:t>
            </w:r>
            <w:r>
              <w:rPr>
                <w:rFonts w:ascii="Arial" w:hAnsi="Arial" w:cs="Arial"/>
                <w:sz w:val="22"/>
                <w:szCs w:val="28"/>
              </w:rPr>
              <w:t>3801277006</w:t>
            </w:r>
          </w:p>
        </w:tc>
      </w:tr>
      <w:tr>
        <w:tblPrEx>
          <w:tblCellMar>
            <w:top w:w="0" w:type="dxa"/>
            <w:left w:w="108" w:type="dxa"/>
            <w:bottom w:w="0" w:type="dxa"/>
            <w:right w:w="108" w:type="dxa"/>
          </w:tblCellMar>
        </w:tblPrEx>
        <w:trPr>
          <w:trHeight w:val="510" w:hRule="exact"/>
          <w:jc w:val="center"/>
        </w:trPr>
        <w:tc>
          <w:tcPr>
            <w:tcW w:w="4824" w:type="dxa"/>
          </w:tcPr>
          <w:p>
            <w:pPr>
              <w:spacing w:before="120" w:beforeLines="50" w:after="120" w:afterLines="50" w:line="360" w:lineRule="auto"/>
              <w:rPr>
                <w:rFonts w:ascii="Arial" w:hAnsi="Arial" w:cs="Arial"/>
                <w:sz w:val="22"/>
                <w:szCs w:val="28"/>
              </w:rPr>
            </w:pPr>
            <w:r>
              <w:rPr>
                <w:rFonts w:hint="eastAsia" w:ascii="Arial" w:hAnsi="Arial" w:cs="Arial"/>
                <w:sz w:val="22"/>
                <w:szCs w:val="28"/>
              </w:rPr>
              <w:t>传真：/</w:t>
            </w:r>
          </w:p>
        </w:tc>
        <w:tc>
          <w:tcPr>
            <w:tcW w:w="4037" w:type="dxa"/>
          </w:tcPr>
          <w:p>
            <w:pPr>
              <w:spacing w:before="120" w:beforeLines="50" w:after="120" w:afterLines="50" w:line="360" w:lineRule="auto"/>
              <w:rPr>
                <w:rFonts w:ascii="Arial" w:hAnsi="Arial" w:cs="Arial"/>
                <w:sz w:val="22"/>
                <w:szCs w:val="28"/>
              </w:rPr>
            </w:pPr>
            <w:r>
              <w:rPr>
                <w:rFonts w:hint="eastAsia" w:ascii="Arial" w:hAnsi="Arial" w:cs="Arial"/>
                <w:sz w:val="22"/>
                <w:szCs w:val="28"/>
              </w:rPr>
              <w:t>传真：0</w:t>
            </w:r>
            <w:r>
              <w:rPr>
                <w:rFonts w:ascii="Arial" w:hAnsi="Arial" w:cs="Arial"/>
                <w:sz w:val="22"/>
                <w:szCs w:val="28"/>
              </w:rPr>
              <w:t>10-82253565</w:t>
            </w:r>
          </w:p>
        </w:tc>
      </w:tr>
      <w:tr>
        <w:tblPrEx>
          <w:tblCellMar>
            <w:top w:w="0" w:type="dxa"/>
            <w:left w:w="108" w:type="dxa"/>
            <w:bottom w:w="0" w:type="dxa"/>
            <w:right w:w="108" w:type="dxa"/>
          </w:tblCellMar>
        </w:tblPrEx>
        <w:trPr>
          <w:trHeight w:val="994" w:hRule="exact"/>
          <w:jc w:val="center"/>
        </w:trPr>
        <w:tc>
          <w:tcPr>
            <w:tcW w:w="4824" w:type="dxa"/>
          </w:tcPr>
          <w:p>
            <w:pPr>
              <w:spacing w:before="120" w:beforeLines="50" w:after="120" w:afterLines="50" w:line="360" w:lineRule="auto"/>
              <w:rPr>
                <w:rFonts w:ascii="Arial" w:hAnsi="Arial" w:cs="Arial"/>
                <w:sz w:val="22"/>
                <w:szCs w:val="28"/>
              </w:rPr>
            </w:pPr>
            <w:r>
              <w:rPr>
                <w:rFonts w:hint="eastAsia" w:ascii="Arial" w:hAnsi="Arial" w:cs="Arial"/>
                <w:sz w:val="22"/>
                <w:szCs w:val="28"/>
              </w:rPr>
              <w:t xml:space="preserve">地址： </w:t>
            </w:r>
          </w:p>
        </w:tc>
        <w:tc>
          <w:tcPr>
            <w:tcW w:w="4037" w:type="dxa"/>
          </w:tcPr>
          <w:p>
            <w:pPr>
              <w:spacing w:before="120" w:beforeLines="50" w:after="120" w:afterLines="50" w:line="360" w:lineRule="auto"/>
              <w:rPr>
                <w:rFonts w:ascii="Arial" w:hAnsi="Arial" w:cs="Arial"/>
                <w:sz w:val="22"/>
                <w:szCs w:val="28"/>
              </w:rPr>
            </w:pPr>
            <w:r>
              <w:rPr>
                <w:rFonts w:hint="eastAsia" w:ascii="Arial" w:hAnsi="Arial" w:cs="Arial"/>
                <w:sz w:val="22"/>
                <w:szCs w:val="28"/>
              </w:rPr>
              <w:t>地址：北京市朝阳区裕民路1</w:t>
            </w:r>
            <w:r>
              <w:rPr>
                <w:rFonts w:ascii="Arial" w:hAnsi="Arial" w:cs="Arial"/>
                <w:sz w:val="22"/>
                <w:szCs w:val="28"/>
              </w:rPr>
              <w:t>2</w:t>
            </w:r>
            <w:r>
              <w:rPr>
                <w:rFonts w:hint="eastAsia" w:ascii="Arial" w:hAnsi="Arial" w:cs="Arial"/>
                <w:sz w:val="22"/>
                <w:szCs w:val="28"/>
              </w:rPr>
              <w:t>号，中国国际科技会展中心B100</w:t>
            </w:r>
            <w:r>
              <w:rPr>
                <w:rFonts w:ascii="Arial" w:hAnsi="Arial" w:cs="Arial"/>
                <w:sz w:val="22"/>
                <w:szCs w:val="28"/>
              </w:rPr>
              <w:t>3</w:t>
            </w:r>
          </w:p>
        </w:tc>
      </w:tr>
      <w:tr>
        <w:tblPrEx>
          <w:tblCellMar>
            <w:top w:w="0" w:type="dxa"/>
            <w:left w:w="108" w:type="dxa"/>
            <w:bottom w:w="0" w:type="dxa"/>
            <w:right w:w="108" w:type="dxa"/>
          </w:tblCellMar>
        </w:tblPrEx>
        <w:trPr>
          <w:trHeight w:val="510" w:hRule="exact"/>
          <w:jc w:val="center"/>
        </w:trPr>
        <w:tc>
          <w:tcPr>
            <w:tcW w:w="4824" w:type="dxa"/>
          </w:tcPr>
          <w:p>
            <w:pPr>
              <w:spacing w:before="120" w:beforeLines="50" w:after="120" w:afterLines="50" w:line="360" w:lineRule="auto"/>
              <w:rPr>
                <w:rFonts w:ascii="Arial" w:hAnsi="Arial" w:cs="Arial"/>
                <w:sz w:val="22"/>
                <w:szCs w:val="28"/>
              </w:rPr>
            </w:pPr>
            <w:r>
              <w:rPr>
                <w:rFonts w:hint="eastAsia" w:ascii="Arial" w:hAnsi="Arial" w:cs="Arial"/>
                <w:sz w:val="22"/>
                <w:szCs w:val="28"/>
              </w:rPr>
              <w:t>邮箱：</w:t>
            </w:r>
            <w:r>
              <w:rPr>
                <w:rFonts w:ascii="Arial" w:hAnsi="Arial" w:cs="Arial"/>
                <w:sz w:val="22"/>
                <w:szCs w:val="28"/>
              </w:rPr>
              <w:t xml:space="preserve"> </w:t>
            </w:r>
          </w:p>
        </w:tc>
        <w:tc>
          <w:tcPr>
            <w:tcW w:w="4037" w:type="dxa"/>
          </w:tcPr>
          <w:p>
            <w:pPr>
              <w:spacing w:before="120" w:beforeLines="50" w:after="120" w:afterLines="50" w:line="360" w:lineRule="auto"/>
              <w:rPr>
                <w:rFonts w:ascii="Arial" w:hAnsi="Arial" w:cs="Arial"/>
                <w:sz w:val="22"/>
                <w:szCs w:val="28"/>
              </w:rPr>
            </w:pPr>
            <w:r>
              <w:rPr>
                <w:rFonts w:hint="eastAsia" w:ascii="Arial" w:hAnsi="Arial" w:cs="Arial"/>
                <w:sz w:val="22"/>
                <w:szCs w:val="28"/>
              </w:rPr>
              <w:t>邮箱：</w:t>
            </w:r>
            <w:r>
              <w:fldChar w:fldCharType="begin"/>
            </w:r>
            <w:r>
              <w:instrText xml:space="preserve"> HYPERLINK "mailto:kangzhenghongji@126.com" </w:instrText>
            </w:r>
            <w:r>
              <w:fldChar w:fldCharType="separate"/>
            </w:r>
            <w:r>
              <w:rPr>
                <w:rStyle w:val="10"/>
                <w:rFonts w:ascii="Arial" w:hAnsi="Arial" w:cs="Arial"/>
                <w:sz w:val="22"/>
                <w:szCs w:val="28"/>
              </w:rPr>
              <w:t>kangzhenghongji@126.com</w:t>
            </w:r>
            <w:r>
              <w:rPr>
                <w:rStyle w:val="10"/>
                <w:rFonts w:ascii="Arial" w:hAnsi="Arial" w:cs="Arial"/>
                <w:sz w:val="22"/>
                <w:szCs w:val="28"/>
              </w:rPr>
              <w:fldChar w:fldCharType="end"/>
            </w:r>
          </w:p>
        </w:tc>
      </w:tr>
      <w:tr>
        <w:tblPrEx>
          <w:tblCellMar>
            <w:top w:w="0" w:type="dxa"/>
            <w:left w:w="108" w:type="dxa"/>
            <w:bottom w:w="0" w:type="dxa"/>
            <w:right w:w="108" w:type="dxa"/>
          </w:tblCellMar>
        </w:tblPrEx>
        <w:trPr>
          <w:trHeight w:val="510" w:hRule="exact"/>
          <w:jc w:val="center"/>
        </w:trPr>
        <w:tc>
          <w:tcPr>
            <w:tcW w:w="4824" w:type="dxa"/>
          </w:tcPr>
          <w:p>
            <w:pPr>
              <w:spacing w:before="120" w:beforeLines="50" w:after="120" w:afterLines="50" w:line="360" w:lineRule="auto"/>
              <w:rPr>
                <w:rFonts w:ascii="Arial" w:hAnsi="Arial" w:cs="Arial"/>
                <w:sz w:val="22"/>
                <w:szCs w:val="28"/>
              </w:rPr>
            </w:pPr>
            <w:r>
              <w:rPr>
                <w:rFonts w:hint="eastAsia" w:ascii="Arial" w:hAnsi="Arial" w:cs="Arial"/>
                <w:sz w:val="22"/>
                <w:szCs w:val="28"/>
              </w:rPr>
              <w:t>邮编：</w:t>
            </w:r>
            <w:r>
              <w:rPr>
                <w:rFonts w:ascii="Arial" w:hAnsi="Arial" w:cs="Arial"/>
                <w:sz w:val="22"/>
                <w:szCs w:val="28"/>
              </w:rPr>
              <w:t xml:space="preserve"> </w:t>
            </w:r>
          </w:p>
        </w:tc>
        <w:tc>
          <w:tcPr>
            <w:tcW w:w="4037" w:type="dxa"/>
          </w:tcPr>
          <w:p>
            <w:pPr>
              <w:spacing w:before="120" w:beforeLines="50" w:after="120" w:afterLines="50" w:line="360" w:lineRule="auto"/>
              <w:rPr>
                <w:rFonts w:ascii="Arial" w:hAnsi="Arial" w:cs="Arial"/>
                <w:sz w:val="22"/>
                <w:szCs w:val="28"/>
              </w:rPr>
            </w:pPr>
            <w:r>
              <w:rPr>
                <w:rFonts w:hint="eastAsia" w:ascii="Arial" w:hAnsi="Arial" w:cs="Arial"/>
                <w:sz w:val="22"/>
                <w:szCs w:val="28"/>
              </w:rPr>
              <w:t>邮编：1</w:t>
            </w:r>
            <w:r>
              <w:rPr>
                <w:rFonts w:ascii="Arial" w:hAnsi="Arial" w:cs="Arial"/>
                <w:sz w:val="22"/>
                <w:szCs w:val="28"/>
              </w:rPr>
              <w:t>00029</w:t>
            </w:r>
          </w:p>
        </w:tc>
      </w:tr>
      <w:tr>
        <w:tblPrEx>
          <w:tblCellMar>
            <w:top w:w="0" w:type="dxa"/>
            <w:left w:w="108" w:type="dxa"/>
            <w:bottom w:w="0" w:type="dxa"/>
            <w:right w:w="108" w:type="dxa"/>
          </w:tblCellMar>
        </w:tblPrEx>
        <w:trPr>
          <w:trHeight w:val="510" w:hRule="exact"/>
          <w:jc w:val="center"/>
        </w:trPr>
        <w:tc>
          <w:tcPr>
            <w:tcW w:w="4824" w:type="dxa"/>
          </w:tcPr>
          <w:p>
            <w:pPr>
              <w:spacing w:before="120" w:beforeLines="50" w:after="120" w:afterLines="50" w:line="360" w:lineRule="auto"/>
              <w:rPr>
                <w:rFonts w:ascii="Arial" w:hAnsi="Arial" w:cs="Arial"/>
                <w:sz w:val="22"/>
                <w:szCs w:val="28"/>
              </w:rPr>
            </w:pPr>
            <w:r>
              <w:rPr>
                <w:rFonts w:hint="eastAsia" w:ascii="Arial" w:hAnsi="Arial" w:cs="Arial"/>
                <w:sz w:val="22"/>
                <w:szCs w:val="28"/>
              </w:rPr>
              <w:t>时间：</w:t>
            </w:r>
            <w:r>
              <w:rPr>
                <w:rFonts w:ascii="Arial" w:hAnsi="Arial" w:cs="Arial"/>
                <w:sz w:val="22"/>
                <w:szCs w:val="28"/>
              </w:rPr>
              <w:t xml:space="preserve"> </w:t>
            </w:r>
            <w:r>
              <w:rPr>
                <w:rFonts w:hint="eastAsia" w:ascii="Arial" w:hAnsi="Arial" w:cs="Arial"/>
                <w:sz w:val="22"/>
                <w:szCs w:val="28"/>
              </w:rPr>
              <w:t>年</w:t>
            </w:r>
            <w:r>
              <w:rPr>
                <w:rFonts w:ascii="Arial" w:hAnsi="Arial" w:cs="Arial"/>
                <w:sz w:val="22"/>
                <w:szCs w:val="28"/>
              </w:rPr>
              <w:t xml:space="preserve">   </w:t>
            </w:r>
            <w:r>
              <w:rPr>
                <w:rFonts w:hint="eastAsia" w:ascii="Arial" w:hAnsi="Arial" w:cs="Arial"/>
                <w:sz w:val="22"/>
                <w:szCs w:val="28"/>
              </w:rPr>
              <w:t xml:space="preserve"> 月</w:t>
            </w:r>
            <w:r>
              <w:rPr>
                <w:rFonts w:ascii="Arial" w:hAnsi="Arial" w:cs="Arial"/>
                <w:sz w:val="22"/>
                <w:szCs w:val="28"/>
              </w:rPr>
              <w:t xml:space="preserve">    </w:t>
            </w:r>
            <w:r>
              <w:rPr>
                <w:rFonts w:hint="eastAsia" w:ascii="Arial" w:hAnsi="Arial" w:cs="Arial"/>
                <w:sz w:val="22"/>
                <w:szCs w:val="28"/>
              </w:rPr>
              <w:t>日</w:t>
            </w:r>
          </w:p>
        </w:tc>
        <w:tc>
          <w:tcPr>
            <w:tcW w:w="4037" w:type="dxa"/>
          </w:tcPr>
          <w:p>
            <w:pPr>
              <w:spacing w:before="120" w:beforeLines="50" w:after="120" w:afterLines="50" w:line="360" w:lineRule="auto"/>
              <w:rPr>
                <w:rFonts w:ascii="Arial" w:hAnsi="Arial" w:cs="Arial"/>
                <w:sz w:val="22"/>
                <w:szCs w:val="28"/>
              </w:rPr>
            </w:pPr>
            <w:r>
              <w:rPr>
                <w:rFonts w:hint="eastAsia" w:ascii="Arial" w:hAnsi="Arial" w:cs="Arial"/>
                <w:sz w:val="22"/>
                <w:szCs w:val="28"/>
              </w:rPr>
              <w:t>时间：</w:t>
            </w:r>
            <w:r>
              <w:rPr>
                <w:rFonts w:ascii="Arial" w:hAnsi="Arial" w:cs="Arial"/>
                <w:sz w:val="22"/>
                <w:szCs w:val="28"/>
              </w:rPr>
              <w:t xml:space="preserve"> </w:t>
            </w:r>
            <w:r>
              <w:rPr>
                <w:rFonts w:hint="eastAsia" w:ascii="Arial" w:hAnsi="Arial" w:cs="Arial"/>
                <w:sz w:val="22"/>
                <w:szCs w:val="28"/>
              </w:rPr>
              <w:t>年</w:t>
            </w:r>
            <w:r>
              <w:rPr>
                <w:rFonts w:ascii="Arial" w:hAnsi="Arial" w:cs="Arial"/>
                <w:sz w:val="22"/>
                <w:szCs w:val="28"/>
              </w:rPr>
              <w:t xml:space="preserve">  </w:t>
            </w:r>
            <w:r>
              <w:rPr>
                <w:rFonts w:hint="eastAsia" w:ascii="Arial" w:hAnsi="Arial" w:cs="Arial"/>
                <w:sz w:val="22"/>
                <w:szCs w:val="28"/>
              </w:rPr>
              <w:t xml:space="preserve"> </w:t>
            </w:r>
            <w:r>
              <w:rPr>
                <w:rFonts w:ascii="Arial" w:hAnsi="Arial" w:cs="Arial"/>
                <w:sz w:val="22"/>
                <w:szCs w:val="28"/>
              </w:rPr>
              <w:t xml:space="preserve"> </w:t>
            </w:r>
            <w:r>
              <w:rPr>
                <w:rFonts w:hint="eastAsia" w:ascii="Arial" w:hAnsi="Arial" w:cs="Arial"/>
                <w:sz w:val="22"/>
                <w:szCs w:val="28"/>
              </w:rPr>
              <w:t>月</w:t>
            </w:r>
            <w:r>
              <w:rPr>
                <w:rFonts w:ascii="Arial" w:hAnsi="Arial" w:cs="Arial"/>
                <w:sz w:val="22"/>
                <w:szCs w:val="28"/>
              </w:rPr>
              <w:t xml:space="preserve">    </w:t>
            </w:r>
            <w:r>
              <w:rPr>
                <w:rFonts w:hint="eastAsia" w:ascii="Arial" w:hAnsi="Arial" w:cs="Arial"/>
                <w:sz w:val="22"/>
                <w:szCs w:val="28"/>
              </w:rPr>
              <w:t>日</w:t>
            </w:r>
          </w:p>
        </w:tc>
      </w:tr>
    </w:tbl>
    <w:p>
      <w:pPr>
        <w:spacing w:before="120" w:beforeLines="50" w:after="120" w:afterLines="50" w:line="360" w:lineRule="auto"/>
        <w:ind w:firstLine="422" w:firstLineChars="192"/>
        <w:rPr>
          <w:rFonts w:ascii="Arial" w:hAnsi="Arial" w:cs="Arial"/>
          <w:sz w:val="22"/>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7612A7"/>
    <w:rsid w:val="000506A9"/>
    <w:rsid w:val="00214F11"/>
    <w:rsid w:val="0039055B"/>
    <w:rsid w:val="003A399E"/>
    <w:rsid w:val="0049698A"/>
    <w:rsid w:val="009B3A5F"/>
    <w:rsid w:val="00CC53A7"/>
    <w:rsid w:val="01F753C4"/>
    <w:rsid w:val="02DA6883"/>
    <w:rsid w:val="040D67A5"/>
    <w:rsid w:val="0617327D"/>
    <w:rsid w:val="069F3BC7"/>
    <w:rsid w:val="06A765D7"/>
    <w:rsid w:val="0806255A"/>
    <w:rsid w:val="08713341"/>
    <w:rsid w:val="08D613F6"/>
    <w:rsid w:val="098350DA"/>
    <w:rsid w:val="0A6B7F42"/>
    <w:rsid w:val="0CAA6E21"/>
    <w:rsid w:val="0CE57E5A"/>
    <w:rsid w:val="0EBE2355"/>
    <w:rsid w:val="0F1B1155"/>
    <w:rsid w:val="10380B7C"/>
    <w:rsid w:val="11A402E3"/>
    <w:rsid w:val="1240326F"/>
    <w:rsid w:val="12750ECF"/>
    <w:rsid w:val="16DC051F"/>
    <w:rsid w:val="176C743C"/>
    <w:rsid w:val="186A1692"/>
    <w:rsid w:val="1E823EC3"/>
    <w:rsid w:val="2014438F"/>
    <w:rsid w:val="208A3E94"/>
    <w:rsid w:val="20D44015"/>
    <w:rsid w:val="21C36564"/>
    <w:rsid w:val="23F24EDE"/>
    <w:rsid w:val="27BF157B"/>
    <w:rsid w:val="2F060721"/>
    <w:rsid w:val="2F7075FF"/>
    <w:rsid w:val="2F88678C"/>
    <w:rsid w:val="30F66FA2"/>
    <w:rsid w:val="31442C7C"/>
    <w:rsid w:val="3271175B"/>
    <w:rsid w:val="32F81DE5"/>
    <w:rsid w:val="33A361F5"/>
    <w:rsid w:val="36A77DAA"/>
    <w:rsid w:val="36E25286"/>
    <w:rsid w:val="375C051D"/>
    <w:rsid w:val="386B727B"/>
    <w:rsid w:val="387C703E"/>
    <w:rsid w:val="39785A2E"/>
    <w:rsid w:val="39883BF3"/>
    <w:rsid w:val="3A9B19D4"/>
    <w:rsid w:val="3C5917A7"/>
    <w:rsid w:val="3E1F0B6E"/>
    <w:rsid w:val="46D10CEF"/>
    <w:rsid w:val="46D15CDC"/>
    <w:rsid w:val="48D4511B"/>
    <w:rsid w:val="49793828"/>
    <w:rsid w:val="4C0F588B"/>
    <w:rsid w:val="4D0B0C3B"/>
    <w:rsid w:val="4E353E82"/>
    <w:rsid w:val="4F4E2378"/>
    <w:rsid w:val="523A78CD"/>
    <w:rsid w:val="527032EE"/>
    <w:rsid w:val="53631EBA"/>
    <w:rsid w:val="546A0BAB"/>
    <w:rsid w:val="56F36782"/>
    <w:rsid w:val="57864AF3"/>
    <w:rsid w:val="578735B4"/>
    <w:rsid w:val="5AE64A95"/>
    <w:rsid w:val="5B3F3410"/>
    <w:rsid w:val="5BF1297E"/>
    <w:rsid w:val="5CD728E8"/>
    <w:rsid w:val="5D862F0B"/>
    <w:rsid w:val="5DC1219E"/>
    <w:rsid w:val="60CF38D6"/>
    <w:rsid w:val="620419CC"/>
    <w:rsid w:val="626E187B"/>
    <w:rsid w:val="637C1792"/>
    <w:rsid w:val="639257BA"/>
    <w:rsid w:val="646131FC"/>
    <w:rsid w:val="64F01A55"/>
    <w:rsid w:val="65B67E1B"/>
    <w:rsid w:val="66A15A1C"/>
    <w:rsid w:val="6736645D"/>
    <w:rsid w:val="68A13DAA"/>
    <w:rsid w:val="69260D24"/>
    <w:rsid w:val="6ACD70D8"/>
    <w:rsid w:val="6B7612A7"/>
    <w:rsid w:val="6C1B79C0"/>
    <w:rsid w:val="6D18512F"/>
    <w:rsid w:val="6D723F67"/>
    <w:rsid w:val="6EE36ECA"/>
    <w:rsid w:val="6FE966A6"/>
    <w:rsid w:val="6FFB46E7"/>
    <w:rsid w:val="71ED62B2"/>
    <w:rsid w:val="72BE059C"/>
    <w:rsid w:val="734B7734"/>
    <w:rsid w:val="73CF3EC1"/>
    <w:rsid w:val="73D74B24"/>
    <w:rsid w:val="74F6547D"/>
    <w:rsid w:val="7523655C"/>
    <w:rsid w:val="794F7B72"/>
    <w:rsid w:val="79F6478D"/>
    <w:rsid w:val="7AAB0D1D"/>
    <w:rsid w:val="7AAB28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pacing w:line="300" w:lineRule="auto"/>
      <w:jc w:val="center"/>
      <w:outlineLvl w:val="0"/>
    </w:pPr>
    <w:rPr>
      <w:rFonts w:ascii="宋体"/>
      <w:b/>
      <w:kern w:val="44"/>
      <w:sz w:val="32"/>
      <w:szCs w:val="20"/>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w:basedOn w:val="1"/>
    <w:next w:val="4"/>
    <w:qFormat/>
    <w:uiPriority w:val="0"/>
    <w:pPr>
      <w:tabs>
        <w:tab w:val="left" w:pos="567"/>
      </w:tabs>
      <w:spacing w:line="22" w:lineRule="atLeast"/>
    </w:pPr>
    <w:rPr>
      <w:rFonts w:ascii="宋体" w:hAnsi="宋体"/>
      <w:sz w:val="24"/>
    </w:rPr>
  </w:style>
  <w:style w:type="paragraph" w:customStyle="1" w:styleId="4">
    <w:name w:val="_Style 2"/>
    <w:next w:val="1"/>
    <w:qFormat/>
    <w:uiPriority w:val="99"/>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styleId="5">
    <w:name w:val="footer"/>
    <w:basedOn w:val="1"/>
    <w:link w:val="13"/>
    <w:uiPriority w:val="0"/>
    <w:pPr>
      <w:tabs>
        <w:tab w:val="center" w:pos="4153"/>
        <w:tab w:val="right" w:pos="8306"/>
      </w:tabs>
      <w:snapToGrid w:val="0"/>
      <w:jc w:val="left"/>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Hyperlink"/>
    <w:basedOn w:val="9"/>
    <w:uiPriority w:val="0"/>
    <w:rPr>
      <w:color w:val="0563C1" w:themeColor="hyperlink"/>
      <w:u w:val="single"/>
      <w14:textFill>
        <w14:solidFill>
          <w14:schemeClr w14:val="hlink"/>
        </w14:solidFill>
      </w14:textFill>
    </w:rPr>
  </w:style>
  <w:style w:type="paragraph" w:customStyle="1" w:styleId="11">
    <w:name w:val="文档正文"/>
    <w:basedOn w:val="1"/>
    <w:qFormat/>
    <w:uiPriority w:val="0"/>
    <w:pPr>
      <w:snapToGrid w:val="0"/>
      <w:spacing w:line="180" w:lineRule="auto"/>
    </w:pPr>
    <w:rPr>
      <w:rFonts w:ascii="Arial" w:hAnsi="Arial"/>
      <w:szCs w:val="20"/>
    </w:rPr>
  </w:style>
  <w:style w:type="character" w:customStyle="1" w:styleId="12">
    <w:name w:val="页眉 字符"/>
    <w:basedOn w:val="9"/>
    <w:link w:val="6"/>
    <w:uiPriority w:val="0"/>
    <w:rPr>
      <w:kern w:val="2"/>
      <w:sz w:val="18"/>
      <w:szCs w:val="18"/>
    </w:rPr>
  </w:style>
  <w:style w:type="character" w:customStyle="1" w:styleId="13">
    <w:name w:val="页脚 字符"/>
    <w:basedOn w:val="9"/>
    <w:link w:val="5"/>
    <w:uiPriority w:val="0"/>
    <w:rPr>
      <w:kern w:val="2"/>
      <w:sz w:val="18"/>
      <w:szCs w:val="18"/>
    </w:rPr>
  </w:style>
  <w:style w:type="character" w:customStyle="1" w:styleId="14">
    <w:name w:val="Unresolved Mention"/>
    <w:basedOn w:val="9"/>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642</Words>
  <Characters>3663</Characters>
  <Lines>30</Lines>
  <Paragraphs>8</Paragraphs>
  <TotalTime>50</TotalTime>
  <ScaleCrop>false</ScaleCrop>
  <LinksUpToDate>false</LinksUpToDate>
  <CharactersWithSpaces>4297</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2021-12-14T04:00:00Z</dcterms:created>
  <dc:creator>zx</dc:creator>
  <cp:lastModifiedBy>维</cp:lastModifiedBy>
  <cp:lastPrinted>2022-01-07T08:56:41Z</cp:lastPrinted>
  <dcterms:modified xsi:type="dcterms:W3CDTF">2022-01-07T09:00:59Z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0EED7656E5434B50B2F1BB6EADB3E8FC</vt:lpwstr>
  </property>
</Properties>
</file>